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BF9C2" w14:textId="7217BB9C" w:rsidR="00977234" w:rsidRDefault="0005450A" w:rsidP="00521016">
      <w:pPr>
        <w:pStyle w:val="CERcovertitle"/>
      </w:pPr>
      <w:r w:rsidRPr="00E12286">
        <w:rPr>
          <w:rFonts w:asciiTheme="minorHAnsi" w:hAnsiTheme="minorHAnsi"/>
        </w:rPr>
        <w:drawing>
          <wp:anchor distT="0" distB="0" distL="114300" distR="114300" simplePos="0" relativeHeight="251658243" behindDoc="0" locked="0" layoutInCell="1" allowOverlap="1" wp14:anchorId="565DA861" wp14:editId="41091A93">
            <wp:simplePos x="0" y="0"/>
            <wp:positionH relativeFrom="column">
              <wp:posOffset>128720</wp:posOffset>
            </wp:positionH>
            <wp:positionV relativeFrom="paragraph">
              <wp:posOffset>2383155</wp:posOffset>
            </wp:positionV>
            <wp:extent cx="6052150" cy="4034767"/>
            <wp:effectExtent l="0" t="0" r="6350" b="4445"/>
            <wp:wrapNone/>
            <wp:docPr id="1496320583" name="Picture Placeholder 35">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96320583" name="Picture Placeholder 35">
                      <a:extLst>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pic:cNvPr>
                    <pic:cNvPicPr>
                      <a:picLocks noGrp="1" noChangeAspect="1"/>
                    </pic:cNvPicPr>
                  </pic:nvPicPr>
                  <pic:blipFill>
                    <a:blip r:embed="rId9"/>
                    <a:stretch>
                      <a:fillRect/>
                    </a:stretch>
                  </pic:blipFill>
                  <pic:spPr>
                    <a:xfrm>
                      <a:off x="0" y="0"/>
                      <a:ext cx="6052150" cy="4034767"/>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H relativeFrom="margin">
              <wp14:pctWidth>0</wp14:pctWidth>
            </wp14:sizeRelH>
            <wp14:sizeRelV relativeFrom="margin">
              <wp14:pctHeight>0</wp14:pctHeight>
            </wp14:sizeRelV>
          </wp:anchor>
        </w:drawing>
      </w:r>
      <w:r w:rsidR="00DE71CC" w:rsidRPr="00E12286">
        <w:rPr>
          <w:rFonts w:asciiTheme="minorHAnsi" w:hAnsiTheme="minorHAnsi"/>
        </w:rPr>
        <mc:AlternateContent>
          <mc:Choice Requires="wps">
            <w:drawing>
              <wp:anchor distT="0" distB="0" distL="114300" distR="114300" simplePos="0" relativeHeight="251658241" behindDoc="0" locked="0" layoutInCell="1" allowOverlap="1" wp14:anchorId="3617C0D8" wp14:editId="71162C30">
                <wp:simplePos x="0" y="0"/>
                <wp:positionH relativeFrom="column">
                  <wp:posOffset>4660900</wp:posOffset>
                </wp:positionH>
                <wp:positionV relativeFrom="paragraph">
                  <wp:posOffset>804657</wp:posOffset>
                </wp:positionV>
                <wp:extent cx="1518920" cy="151892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B6F73AA" id="Freeform 2" o:spid="_x0000_s1026" alt="&quot;&quot;" style="position:absolute;margin-left:367pt;margin-top:63.35pt;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" path="m5125,4843r,-4562l4844,,250,,,281,,4843r250,281l4844,5124r281,-281e" fillcolor="#fcba5c [3205]" strokecolor="#fcba5c [3205]">
                <v:path o:connecttype="custom" o:connectlocs="1518624,1435342;1518624,83281;1435359,0;74079,0;0,83281;0,1435342;74079,1518624;1435359,1518624;1518624,1435342" o:connectangles="0,0,0,0,0,0,0,0,0"/>
              </v:shape>
            </w:pict>
          </mc:Fallback>
        </mc:AlternateContent>
      </w:r>
      <w:r w:rsidR="588C03F1" w:rsidRPr="1A2E2702">
        <w:rPr>
          <w:rFonts w:asciiTheme="minorHAnsi" w:hAnsiTheme="minorHAnsi"/>
        </w:rPr>
        <w:t>202</w:t>
      </w:r>
      <w:r w:rsidR="63D0CCDB" w:rsidRPr="1A2E2702">
        <w:rPr>
          <w:rFonts w:asciiTheme="minorHAnsi" w:hAnsiTheme="minorHAnsi"/>
        </w:rPr>
        <w:t>4</w:t>
      </w:r>
      <w:r w:rsidR="588C03F1" w:rsidRPr="1A2E2702">
        <w:rPr>
          <w:rFonts w:asciiTheme="minorHAnsi" w:hAnsiTheme="minorHAnsi"/>
        </w:rPr>
        <w:t>–2</w:t>
      </w:r>
      <w:r w:rsidR="63D0CCDB" w:rsidRPr="1A2E2702">
        <w:rPr>
          <w:rFonts w:asciiTheme="minorHAnsi" w:hAnsiTheme="minorHAnsi"/>
        </w:rPr>
        <w:t>5</w:t>
      </w:r>
      <w:r w:rsidR="588C03F1" w:rsidRPr="1A2E2702">
        <w:rPr>
          <w:rFonts w:asciiTheme="minorHAnsi" w:hAnsiTheme="minorHAnsi"/>
        </w:rPr>
        <w:t xml:space="preserve"> </w:t>
      </w:r>
      <w:r w:rsidR="000E14CF">
        <w:rPr>
          <w:rFonts w:asciiTheme="minorHAnsi" w:hAnsiTheme="minorHAnsi"/>
        </w:rPr>
        <w:t>s</w:t>
      </w:r>
      <w:r w:rsidR="0408B2E0" w:rsidRPr="1A2E2702">
        <w:rPr>
          <w:rFonts w:asciiTheme="minorHAnsi" w:hAnsiTheme="minorHAnsi"/>
        </w:rPr>
        <w:t>afeguard</w:t>
      </w:r>
      <w:r w:rsidR="588C03F1" w:rsidRPr="1A2E2702">
        <w:rPr>
          <w:rFonts w:asciiTheme="minorHAnsi" w:hAnsiTheme="minorHAnsi"/>
        </w:rPr>
        <w:t xml:space="preserve"> </w:t>
      </w:r>
      <w:r w:rsidR="63D0CCDB" w:rsidRPr="1A2E2702">
        <w:rPr>
          <w:rFonts w:asciiTheme="minorHAnsi" w:hAnsiTheme="minorHAnsi"/>
        </w:rPr>
        <w:t xml:space="preserve">preliminary </w:t>
      </w:r>
      <w:r w:rsidR="62A53781" w:rsidRPr="1A2E2702">
        <w:rPr>
          <w:rFonts w:asciiTheme="minorHAnsi" w:hAnsiTheme="minorHAnsi"/>
        </w:rPr>
        <w:t>insights</w:t>
      </w:r>
    </w:p>
    <w:p w14:paraId="527DE228" w14:textId="75015CE9" w:rsidR="00E12286" w:rsidRDefault="005E76AF" w:rsidP="002C702A">
      <w:r w:rsidRPr="00E12286">
        <w:rPr>
          <w:noProof/>
        </w:rPr>
        <mc:AlternateContent>
          <mc:Choice Requires="wps">
            <w:drawing>
              <wp:anchor distT="0" distB="0" distL="114300" distR="114300" simplePos="0" relativeHeight="251658240" behindDoc="0" locked="0" layoutInCell="1" allowOverlap="1" wp14:anchorId="70AF1237" wp14:editId="72B60439">
                <wp:simplePos x="0" y="0"/>
                <wp:positionH relativeFrom="column">
                  <wp:posOffset>4675505</wp:posOffset>
                </wp:positionH>
                <wp:positionV relativeFrom="paragraph">
                  <wp:posOffset>3415665</wp:posOffset>
                </wp:positionV>
                <wp:extent cx="1518920" cy="1515745"/>
                <wp:effectExtent l="0" t="0" r="5080" b="8255"/>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45AF65CC" id="Freeform 4" o:spid="_x0000_s1026" alt="&quot;&quot;" style="position:absolute;margin-left:368.15pt;margin-top:268.95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00B91550" w:rsidRPr="00E12286">
        <w:rPr>
          <w:noProof/>
        </w:rPr>
        <mc:AlternateContent>
          <mc:Choice Requires="wps">
            <w:drawing>
              <wp:anchor distT="0" distB="0" distL="114300" distR="114300" simplePos="0" relativeHeight="251658242" behindDoc="0" locked="0" layoutInCell="1" allowOverlap="1" wp14:anchorId="3FAA913D" wp14:editId="2811B250">
                <wp:simplePos x="0" y="0"/>
                <wp:positionH relativeFrom="column">
                  <wp:posOffset>3114040</wp:posOffset>
                </wp:positionH>
                <wp:positionV relativeFrom="paragraph">
                  <wp:posOffset>3416069</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6F1D5E79" id="Freeform 4" o:spid="_x0000_s1026" alt="&quot;&quot;" style="position:absolute;margin-left:245.2pt;margin-top:269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3A5739" w:rsidRPr="00531F3B">
        <w:br w:type="page"/>
      </w:r>
    </w:p>
    <w:p w14:paraId="1A64989C" w14:textId="498645AB" w:rsidR="005B18B5" w:rsidRPr="005B18B5" w:rsidRDefault="000924B5" w:rsidP="005B18B5">
      <w:pPr>
        <w:pStyle w:val="Heading1"/>
        <w:spacing w:after="240"/>
      </w:pPr>
      <w:bookmarkStart w:id="0" w:name="_Toc209527548"/>
      <w:r>
        <w:lastRenderedPageBreak/>
        <w:t>Overview</w:t>
      </w:r>
      <w:r w:rsidR="006E0638" w:rsidRPr="006E0638">
        <w:t xml:space="preserve"> of the Safeguard Mechanism</w:t>
      </w:r>
      <w:bookmarkEnd w:id="0"/>
      <w:r w:rsidR="006E0638" w:rsidRPr="006E0638">
        <w:t xml:space="preserve"> </w:t>
      </w:r>
    </w:p>
    <w:p w14:paraId="6EEC78FC" w14:textId="214A610C" w:rsidR="006E0638" w:rsidRPr="006E0638" w:rsidRDefault="006E0638" w:rsidP="006E0638">
      <w:r w:rsidRPr="006E0638">
        <w:t xml:space="preserve">The Safeguard Mechanism applies to </w:t>
      </w:r>
      <w:r w:rsidR="005227A5">
        <w:t>the responsible emitters of</w:t>
      </w:r>
      <w:r w:rsidRPr="006E0638">
        <w:t xml:space="preserve"> facilities </w:t>
      </w:r>
      <w:r w:rsidR="00A84CCC" w:rsidRPr="006E0638">
        <w:t>that emit more than 100,000</w:t>
      </w:r>
      <w:r w:rsidR="00A84CCC">
        <w:t xml:space="preserve"> </w:t>
      </w:r>
      <w:r w:rsidR="00A84CCC" w:rsidRPr="007461CC">
        <w:t xml:space="preserve">tonnes of carbon dioxide equivalent </w:t>
      </w:r>
      <w:r w:rsidR="00A84CCC">
        <w:t>(</w:t>
      </w:r>
      <w:r w:rsidR="00A84CCC" w:rsidRPr="006E0638">
        <w:t>tCO</w:t>
      </w:r>
      <w:r w:rsidR="00A84CCC" w:rsidRPr="006E0638">
        <w:rPr>
          <w:vertAlign w:val="subscript"/>
        </w:rPr>
        <w:t>2</w:t>
      </w:r>
      <w:r w:rsidR="00A84CCC" w:rsidRPr="00D83BD4">
        <w:t>-e</w:t>
      </w:r>
      <w:r w:rsidR="00A84CCC">
        <w:t>)</w:t>
      </w:r>
      <w:r w:rsidR="00A84CCC" w:rsidRPr="006E0638">
        <w:t xml:space="preserve"> in a </w:t>
      </w:r>
      <w:r w:rsidR="00777F99" w:rsidRPr="006E0638">
        <w:t>year</w:t>
      </w:r>
      <w:r w:rsidR="00777F99">
        <w:t>.</w:t>
      </w:r>
      <w:r w:rsidR="000D7397">
        <w:t xml:space="preserve"> </w:t>
      </w:r>
      <w:r w:rsidR="00484664">
        <w:t>These f</w:t>
      </w:r>
      <w:r w:rsidR="000D7397">
        <w:t>acilities</w:t>
      </w:r>
      <w:r w:rsidR="00661973">
        <w:t xml:space="preserve"> </w:t>
      </w:r>
      <w:r w:rsidR="00952026">
        <w:t>operat</w:t>
      </w:r>
      <w:r w:rsidR="00484664">
        <w:t>e</w:t>
      </w:r>
      <w:r w:rsidR="00952026">
        <w:t xml:space="preserve"> </w:t>
      </w:r>
      <w:r w:rsidR="000D7397" w:rsidRPr="006E0638">
        <w:t>across a range of sectors</w:t>
      </w:r>
      <w:r w:rsidRPr="006E0638">
        <w:t xml:space="preserve"> </w:t>
      </w:r>
      <w:r w:rsidR="00484664">
        <w:t>including</w:t>
      </w:r>
      <w:r w:rsidRPr="006E0638">
        <w:t xml:space="preserve"> coal mining, metal ore mining, oil and gas extraction, manufacturing and transport</w:t>
      </w:r>
      <w:r w:rsidR="00A84CCC">
        <w:t>.</w:t>
      </w:r>
      <w:r w:rsidR="002502FC" w:rsidRPr="002502FC">
        <w:t xml:space="preserve"> </w:t>
      </w:r>
      <w:r w:rsidR="002502FC">
        <w:t xml:space="preserve">The </w:t>
      </w:r>
      <w:r w:rsidR="009204E8">
        <w:t>g</w:t>
      </w:r>
      <w:r w:rsidR="002502FC">
        <w:t>reenhouse</w:t>
      </w:r>
      <w:r w:rsidR="009204E8">
        <w:t xml:space="preserve"> gas</w:t>
      </w:r>
      <w:r w:rsidR="002502FC">
        <w:t xml:space="preserve"> emissions of these facilities </w:t>
      </w:r>
      <w:r w:rsidR="00207F8B">
        <w:t>are</w:t>
      </w:r>
      <w:r w:rsidR="002502FC">
        <w:t xml:space="preserve"> reported each year under the National Greenhouse and Energy Reporting Scheme.</w:t>
      </w:r>
    </w:p>
    <w:p w14:paraId="00EA595B" w14:textId="32BCAFF9" w:rsidR="006E0638" w:rsidRPr="006E0638" w:rsidRDefault="006E0638" w:rsidP="00DF73B5">
      <w:r w:rsidRPr="006E0638">
        <w:t xml:space="preserve">The Safeguard Mechanism sets limits, known as baselines, on the greenhouse gas emissions of covered facilities. </w:t>
      </w:r>
      <w:r w:rsidR="005E75D8">
        <w:t>A facilit</w:t>
      </w:r>
      <w:r w:rsidR="00F514FD">
        <w:t>y’</w:t>
      </w:r>
      <w:r w:rsidR="005E75D8">
        <w:t xml:space="preserve">s annual baseline is </w:t>
      </w:r>
      <w:r w:rsidR="003701EA">
        <w:t>set using a production-adjusted (intensity) baseline framework. This means baselines increase and fall with production</w:t>
      </w:r>
      <w:r w:rsidR="00272324">
        <w:t xml:space="preserve">. </w:t>
      </w:r>
      <w:r w:rsidR="00423F7F">
        <w:t>A facility’s baseline is calculated based on the sum of the quantity of production for each</w:t>
      </w:r>
      <w:r w:rsidR="00DF73B5">
        <w:t xml:space="preserve"> production variable (</w:t>
      </w:r>
      <w:r w:rsidR="00423F7F">
        <w:t>PV</w:t>
      </w:r>
      <w:r w:rsidR="00DF73B5">
        <w:t>)</w:t>
      </w:r>
      <w:r w:rsidR="00423F7F">
        <w:t xml:space="preserve"> multiplied by the relevant emissions intensity value(s)</w:t>
      </w:r>
      <w:r w:rsidR="00FB2F74">
        <w:t>.</w:t>
      </w:r>
      <w:r w:rsidR="00DC2ED6">
        <w:t xml:space="preserve"> </w:t>
      </w:r>
      <w:r w:rsidRPr="006E0638">
        <w:t>Under the reformed mechanism</w:t>
      </w:r>
      <w:r w:rsidR="0015542A">
        <w:t>,</w:t>
      </w:r>
      <w:r w:rsidRPr="006E0638">
        <w:t xml:space="preserve"> these baselines generally decline by 4.9% each year to make sure net emissions fall in</w:t>
      </w:r>
      <w:r w:rsidR="003D5F88">
        <w:t xml:space="preserve"> </w:t>
      </w:r>
      <w:r w:rsidRPr="006E0638">
        <w:t>line with legislated targets.</w:t>
      </w:r>
    </w:p>
    <w:p w14:paraId="3972AAA3" w14:textId="44F1612F" w:rsidR="006E0638" w:rsidRPr="006E0638" w:rsidRDefault="006E0638" w:rsidP="006E0638">
      <w:r w:rsidRPr="006E0638">
        <w:t>If</w:t>
      </w:r>
      <w:r w:rsidR="003A0D3E">
        <w:t xml:space="preserve"> </w:t>
      </w:r>
      <w:r w:rsidR="003A0D3E" w:rsidDel="00527B94">
        <w:t>a</w:t>
      </w:r>
      <w:r w:rsidRPr="006E0638" w:rsidDel="00527B94">
        <w:t xml:space="preserve"> facilit</w:t>
      </w:r>
      <w:r w:rsidR="003A0D3E" w:rsidDel="00527B94">
        <w:t>y’s</w:t>
      </w:r>
      <w:r w:rsidRPr="006E0638">
        <w:t xml:space="preserve"> </w:t>
      </w:r>
      <w:r w:rsidR="003A0D3E">
        <w:t>emissions</w:t>
      </w:r>
      <w:r w:rsidR="00527B94">
        <w:t xml:space="preserve"> </w:t>
      </w:r>
      <w:r w:rsidRPr="006E0638">
        <w:t xml:space="preserve">are under </w:t>
      </w:r>
      <w:r w:rsidRPr="006E0638" w:rsidDel="00961CF2">
        <w:t xml:space="preserve">their </w:t>
      </w:r>
      <w:r w:rsidR="002A48C0">
        <w:t>annual</w:t>
      </w:r>
      <w:r w:rsidRPr="006E0638" w:rsidDel="00961CF2">
        <w:t xml:space="preserve"> </w:t>
      </w:r>
      <w:r w:rsidRPr="006E0638">
        <w:t xml:space="preserve">baseline, </w:t>
      </w:r>
      <w:r w:rsidR="00902082">
        <w:t>its responsible emitter</w:t>
      </w:r>
      <w:r w:rsidRPr="006E0638">
        <w:t xml:space="preserve"> may be eligible </w:t>
      </w:r>
      <w:r w:rsidR="007E7FF1">
        <w:t>for</w:t>
      </w:r>
      <w:r w:rsidRPr="006E0638">
        <w:t xml:space="preserve"> Safeguard Mechanism credit</w:t>
      </w:r>
      <w:r w:rsidR="001A02FF">
        <w:t xml:space="preserve"> units</w:t>
      </w:r>
      <w:r w:rsidRPr="006E0638">
        <w:t xml:space="preserve"> (SMCs).</w:t>
      </w:r>
    </w:p>
    <w:p w14:paraId="7F595766" w14:textId="3ED11659" w:rsidR="00443958" w:rsidRDefault="006E0638" w:rsidP="00294E00">
      <w:r w:rsidRPr="006E0638">
        <w:t xml:space="preserve">If </w:t>
      </w:r>
      <w:r w:rsidR="003A0D3E" w:rsidDel="00702DA8">
        <w:t xml:space="preserve">a facility’s </w:t>
      </w:r>
      <w:r w:rsidR="003A0D3E">
        <w:t xml:space="preserve">emissions </w:t>
      </w:r>
      <w:r w:rsidRPr="006E0638">
        <w:t xml:space="preserve">are over </w:t>
      </w:r>
      <w:r w:rsidRPr="006E0638" w:rsidDel="00961CF2">
        <w:t xml:space="preserve">their </w:t>
      </w:r>
      <w:r w:rsidRPr="006E0638">
        <w:t>baseline</w:t>
      </w:r>
      <w:r w:rsidR="00DF3944">
        <w:t>,</w:t>
      </w:r>
      <w:r w:rsidRPr="006E0638">
        <w:t xml:space="preserve"> </w:t>
      </w:r>
      <w:r w:rsidR="00663A36">
        <w:t>its responsible emitter is</w:t>
      </w:r>
      <w:r w:rsidRPr="006E0638">
        <w:t xml:space="preserve"> required to manage these excess emissions. </w:t>
      </w:r>
      <w:r w:rsidR="00B16181">
        <w:t>Responsible emitters</w:t>
      </w:r>
      <w:r w:rsidR="00B16181" w:rsidRPr="006E0638">
        <w:t xml:space="preserve"> </w:t>
      </w:r>
      <w:r w:rsidRPr="006E0638">
        <w:t xml:space="preserve">have several available options for managing excess emissions, including surrendering Australian carbon credit units (ACCUs) and SMCs, or accessing a range of flexibility measures </w:t>
      </w:r>
      <w:r w:rsidR="00FF1AF0">
        <w:t>if they</w:t>
      </w:r>
      <w:r w:rsidRPr="006E0638">
        <w:t xml:space="preserve"> meet the eligibility criteria. </w:t>
      </w:r>
      <w:r w:rsidR="00294E00" w:rsidRPr="006E0638">
        <w:t>Flexibility measures include</w:t>
      </w:r>
      <w:r w:rsidR="00443958">
        <w:t>:</w:t>
      </w:r>
      <w:r w:rsidR="00294E00" w:rsidRPr="006E0638">
        <w:t xml:space="preserve"> </w:t>
      </w:r>
    </w:p>
    <w:p w14:paraId="2A4BA625" w14:textId="77777777" w:rsidR="00443958" w:rsidRDefault="00294E00" w:rsidP="0065622E">
      <w:pPr>
        <w:pStyle w:val="CERbullets"/>
        <w:ind w:left="993" w:hanging="426"/>
      </w:pPr>
      <w:r w:rsidRPr="006E0638">
        <w:t>trade-exposed baseline adjustment (TEBA) determinations</w:t>
      </w:r>
      <w:r w:rsidR="00443958">
        <w:t xml:space="preserve"> </w:t>
      </w:r>
    </w:p>
    <w:p w14:paraId="22A7A23A" w14:textId="6CDD8529" w:rsidR="00443958" w:rsidRDefault="00294E00" w:rsidP="0065622E">
      <w:pPr>
        <w:pStyle w:val="CERbullets"/>
        <w:ind w:left="993" w:hanging="426"/>
      </w:pPr>
      <w:r w:rsidRPr="006E0638">
        <w:t>multi-year monitoring period (MYMP) declarations</w:t>
      </w:r>
      <w:r w:rsidR="00443958">
        <w:t xml:space="preserve"> </w:t>
      </w:r>
    </w:p>
    <w:p w14:paraId="540FA75B" w14:textId="094A5522" w:rsidR="00294E00" w:rsidRDefault="00294E00" w:rsidP="0065622E">
      <w:pPr>
        <w:pStyle w:val="CERbullets"/>
        <w:ind w:left="993" w:hanging="426"/>
      </w:pPr>
      <w:r w:rsidRPr="006E0638">
        <w:t>borrowing adjustment determinations.</w:t>
      </w:r>
    </w:p>
    <w:p w14:paraId="594B74B6" w14:textId="77777777" w:rsidR="009A3075" w:rsidRPr="005244F4" w:rsidRDefault="006E0638" w:rsidP="00D82038">
      <w:pPr>
        <w:spacing w:before="120" w:after="120"/>
        <w:rPr>
          <w:color w:val="auto"/>
        </w:rPr>
      </w:pPr>
      <w:r w:rsidRPr="005244F4">
        <w:rPr>
          <w:color w:val="auto"/>
        </w:rPr>
        <w:t xml:space="preserve">The use of </w:t>
      </w:r>
      <w:r w:rsidR="005431D2" w:rsidRPr="005244F4">
        <w:rPr>
          <w:color w:val="auto"/>
        </w:rPr>
        <w:t>ACCUs and SMCs</w:t>
      </w:r>
      <w:r w:rsidRPr="005244F4">
        <w:rPr>
          <w:color w:val="auto"/>
        </w:rPr>
        <w:t xml:space="preserve"> to </w:t>
      </w:r>
      <w:hyperlink r:id="rId10" w:tooltip="This is a link to the Clean Energy Regulator webpage Managing excess emissions. This page has information for Safeguard facilties about different methods of managing an excess emissions situation. ">
        <w:r w:rsidRPr="005244F4">
          <w:rPr>
            <w:color w:val="006C93" w:themeColor="accent3"/>
            <w:u w:val="single"/>
          </w:rPr>
          <w:t>manage excess emissions</w:t>
        </w:r>
      </w:hyperlink>
      <w:r w:rsidRPr="005244F4">
        <w:rPr>
          <w:color w:val="auto"/>
        </w:rPr>
        <w:t xml:space="preserve"> is an important design feature</w:t>
      </w:r>
      <w:r w:rsidR="00D123E2" w:rsidRPr="005244F4">
        <w:rPr>
          <w:color w:val="auto"/>
        </w:rPr>
        <w:t xml:space="preserve"> of the Safeguard Mechanism</w:t>
      </w:r>
      <w:r w:rsidR="00207D7A" w:rsidRPr="005244F4">
        <w:rPr>
          <w:color w:val="auto"/>
        </w:rPr>
        <w:t>. It</w:t>
      </w:r>
      <w:r w:rsidRPr="005244F4">
        <w:rPr>
          <w:color w:val="auto"/>
        </w:rPr>
        <w:t xml:space="preserve"> allow</w:t>
      </w:r>
      <w:r w:rsidR="00207D7A" w:rsidRPr="005244F4">
        <w:rPr>
          <w:color w:val="auto"/>
        </w:rPr>
        <w:t>s</w:t>
      </w:r>
      <w:r w:rsidRPr="005244F4">
        <w:rPr>
          <w:color w:val="auto"/>
        </w:rPr>
        <w:t xml:space="preserve"> </w:t>
      </w:r>
      <w:r w:rsidR="0076366B" w:rsidRPr="005244F4">
        <w:rPr>
          <w:color w:val="auto"/>
        </w:rPr>
        <w:t xml:space="preserve">responsible emitters </w:t>
      </w:r>
      <w:r w:rsidRPr="005244F4">
        <w:rPr>
          <w:color w:val="auto"/>
        </w:rPr>
        <w:t xml:space="preserve">to meet their legislative obligations </w:t>
      </w:r>
      <w:r w:rsidR="00A36EF5" w:rsidRPr="005244F4">
        <w:rPr>
          <w:color w:val="auto"/>
        </w:rPr>
        <w:t>while</w:t>
      </w:r>
      <w:r w:rsidRPr="005244F4">
        <w:rPr>
          <w:color w:val="auto"/>
        </w:rPr>
        <w:t xml:space="preserve"> </w:t>
      </w:r>
      <w:r w:rsidR="0076366B" w:rsidRPr="005244F4">
        <w:rPr>
          <w:color w:val="auto"/>
        </w:rPr>
        <w:t xml:space="preserve">facilities </w:t>
      </w:r>
      <w:r w:rsidRPr="005244F4">
        <w:rPr>
          <w:color w:val="auto"/>
        </w:rPr>
        <w:t>transition to technology that reduce emissions at the source.</w:t>
      </w:r>
      <w:r w:rsidR="00A90B26" w:rsidRPr="005244F4">
        <w:rPr>
          <w:color w:val="auto"/>
          <w:vertAlign w:val="superscript"/>
        </w:rPr>
        <w:footnoteReference w:id="2"/>
      </w:r>
    </w:p>
    <w:p w14:paraId="373E7FF9" w14:textId="5E3027E9" w:rsidR="00982916" w:rsidRDefault="006E16B5" w:rsidP="00982916">
      <w:pPr>
        <w:rPr>
          <w:rFonts w:eastAsiaTheme="majorEastAsia"/>
        </w:rPr>
      </w:pPr>
      <w:r>
        <w:t xml:space="preserve">See our website for more information </w:t>
      </w:r>
      <w:r w:rsidR="00D109EC">
        <w:t xml:space="preserve">on </w:t>
      </w:r>
      <w:r>
        <w:t xml:space="preserve">the </w:t>
      </w:r>
      <w:hyperlink r:id="rId11">
        <w:r w:rsidR="00E60A00" w:rsidRPr="005244F4">
          <w:rPr>
            <w:rFonts w:ascii="Calibri" w:hAnsi="Calibri"/>
            <w:color w:val="006C93" w:themeColor="accent3"/>
            <w:u w:val="single"/>
          </w:rPr>
          <w:t>Safeguard Mechanism</w:t>
        </w:r>
      </w:hyperlink>
      <w:r w:rsidR="00E60A00">
        <w:t>.</w:t>
      </w:r>
      <w:bookmarkStart w:id="1" w:name="_Toc209527549"/>
      <w:r w:rsidR="00A3284A" w:rsidRPr="005244F4">
        <w:rPr>
          <w:vertAlign w:val="superscript"/>
        </w:rPr>
        <w:footnoteReference w:id="3"/>
      </w:r>
      <w:r w:rsidR="00D82038">
        <w:rPr>
          <w:rFonts w:eastAsiaTheme="majorEastAsia"/>
        </w:rPr>
        <w:br w:type="page"/>
      </w:r>
    </w:p>
    <w:p w14:paraId="441AAC30" w14:textId="3EA7679B" w:rsidR="009212E1" w:rsidRPr="009212E1" w:rsidRDefault="00EA22B1" w:rsidP="009212E1">
      <w:pPr>
        <w:pStyle w:val="Heading1"/>
        <w:rPr>
          <w:rFonts w:eastAsiaTheme="majorEastAsia"/>
        </w:rPr>
      </w:pPr>
      <w:r>
        <w:rPr>
          <w:rFonts w:eastAsiaTheme="majorEastAsia"/>
        </w:rPr>
        <w:lastRenderedPageBreak/>
        <w:t>202</w:t>
      </w:r>
      <w:r w:rsidR="009E2AAE">
        <w:rPr>
          <w:rFonts w:eastAsiaTheme="majorEastAsia"/>
        </w:rPr>
        <w:t>4</w:t>
      </w:r>
      <w:r>
        <w:rPr>
          <w:rFonts w:eastAsiaTheme="majorEastAsia"/>
        </w:rPr>
        <w:t>–2</w:t>
      </w:r>
      <w:r w:rsidR="009E2AAE">
        <w:rPr>
          <w:rFonts w:eastAsiaTheme="majorEastAsia"/>
        </w:rPr>
        <w:t>5</w:t>
      </w:r>
      <w:r w:rsidR="006E0638" w:rsidRPr="000B7E92">
        <w:rPr>
          <w:rFonts w:eastAsiaTheme="majorEastAsia"/>
        </w:rPr>
        <w:t xml:space="preserve"> </w:t>
      </w:r>
      <w:r w:rsidR="00D4675F">
        <w:rPr>
          <w:rFonts w:eastAsiaTheme="majorEastAsia"/>
        </w:rPr>
        <w:t>initial</w:t>
      </w:r>
      <w:r w:rsidR="006E555F">
        <w:rPr>
          <w:rFonts w:eastAsiaTheme="majorEastAsia"/>
        </w:rPr>
        <w:t xml:space="preserve"> update</w:t>
      </w:r>
      <w:bookmarkEnd w:id="1"/>
      <w:r w:rsidR="006E555F">
        <w:rPr>
          <w:rFonts w:eastAsiaTheme="majorEastAsia"/>
        </w:rPr>
        <w:t xml:space="preserve"> </w:t>
      </w:r>
      <w:r w:rsidR="00DE26EF">
        <w:t xml:space="preserve"> </w:t>
      </w:r>
      <w:bookmarkStart w:id="2" w:name="_Toc209527550"/>
    </w:p>
    <w:p w14:paraId="29C37F8F" w14:textId="305E2188" w:rsidR="009212E1" w:rsidRPr="009212E1" w:rsidRDefault="009212E1" w:rsidP="009212E1">
      <w:pPr>
        <w:pStyle w:val="Heading2"/>
      </w:pPr>
      <w:r>
        <w:t>P</w:t>
      </w:r>
      <w:r w:rsidRPr="006E555F">
        <w:t>reliminary data</w:t>
      </w:r>
    </w:p>
    <w:tbl>
      <w:tblPr>
        <w:tblStyle w:val="CERCallout"/>
        <w:tblpPr w:leftFromText="180" w:rightFromText="180" w:vertAnchor="text" w:horzAnchor="margin" w:tblpY="193"/>
        <w:tblW w:w="5000" w:type="pct"/>
        <w:tblLook w:val="0480" w:firstRow="0" w:lastRow="0" w:firstColumn="1" w:lastColumn="0" w:noHBand="0" w:noVBand="1"/>
        <w:tblCaption w:val="test"/>
        <w:tblDescription w:val="tesst"/>
      </w:tblPr>
      <w:tblGrid>
        <w:gridCol w:w="9740"/>
      </w:tblGrid>
      <w:tr w:rsidR="008C64F2" w14:paraId="11D55F44" w14:textId="77777777" w:rsidTr="00651CF0">
        <w:trPr>
          <w:trHeight w:val="2262"/>
        </w:trPr>
        <w:tc>
          <w:tcPr>
            <w:tcW w:w="0" w:type="pct"/>
          </w:tcPr>
          <w:bookmarkEnd w:id="2"/>
          <w:p w14:paraId="4A4C8819" w14:textId="515827BD" w:rsidR="008C64F2" w:rsidRPr="001E2418" w:rsidRDefault="008C64F2" w:rsidP="00AD33EB">
            <w:pPr>
              <w:pStyle w:val="Heading3"/>
            </w:pPr>
            <w:r w:rsidRPr="001E2418">
              <w:t xml:space="preserve">Disclaimer </w:t>
            </w:r>
          </w:p>
          <w:p w14:paraId="0ADEED7C" w14:textId="77777777" w:rsidR="001532FF" w:rsidRDefault="008C64F2" w:rsidP="00136693">
            <w:pPr>
              <w:spacing w:after="120"/>
              <w:rPr>
                <w:rFonts w:ascii="Segoe UI" w:eastAsia="Times New Roman" w:hAnsi="Segoe UI" w:cs="Segoe UI"/>
                <w:color w:val="auto"/>
                <w:sz w:val="20"/>
                <w:szCs w:val="20"/>
                <w:lang w:eastAsia="en-AU"/>
              </w:rPr>
            </w:pPr>
            <w:r>
              <w:t xml:space="preserve">The information in this document is preliminary and </w:t>
            </w:r>
            <w:r w:rsidR="00266714">
              <w:t xml:space="preserve">will </w:t>
            </w:r>
            <w:r>
              <w:t xml:space="preserve">be subject to change. </w:t>
            </w:r>
            <w:r w:rsidR="00221AE9" w:rsidRPr="00221AE9">
              <w:rPr>
                <w:rFonts w:ascii="Segoe UI" w:eastAsia="Times New Roman" w:hAnsi="Segoe UI" w:cs="Segoe UI"/>
                <w:color w:val="auto"/>
                <w:sz w:val="20"/>
                <w:szCs w:val="20"/>
                <w:lang w:eastAsia="en-AU"/>
              </w:rPr>
              <w:t xml:space="preserve"> </w:t>
            </w:r>
          </w:p>
          <w:p w14:paraId="4675D6C1" w14:textId="0D1FEF22" w:rsidR="009C3EAE" w:rsidRDefault="00F110D2" w:rsidP="00136693">
            <w:pPr>
              <w:spacing w:after="120"/>
            </w:pPr>
            <w:r w:rsidRPr="00AD33EB">
              <w:t xml:space="preserve">The preliminary data is based </w:t>
            </w:r>
            <w:r w:rsidR="0009142A" w:rsidRPr="00AD33EB">
              <w:t>on</w:t>
            </w:r>
            <w:r w:rsidR="00372A8D" w:rsidRPr="00AD33EB">
              <w:t xml:space="preserve"> </w:t>
            </w:r>
            <w:r w:rsidR="001532FF" w:rsidRPr="00AD33EB">
              <w:t>report</w:t>
            </w:r>
            <w:r w:rsidR="00230078" w:rsidRPr="00AD33EB">
              <w:t>s submitted</w:t>
            </w:r>
            <w:r w:rsidR="006C3941" w:rsidRPr="00AD33EB">
              <w:t xml:space="preserve"> to the </w:t>
            </w:r>
            <w:r w:rsidR="00C86E1C" w:rsidRPr="00AD33EB">
              <w:t>Clean Energy Regulator (</w:t>
            </w:r>
            <w:r w:rsidR="006C3941" w:rsidRPr="00AD33EB">
              <w:t>CER</w:t>
            </w:r>
            <w:r w:rsidR="00C86E1C" w:rsidRPr="00AD33EB">
              <w:t>)</w:t>
            </w:r>
            <w:r w:rsidR="006C3941" w:rsidRPr="00AD33EB">
              <w:t xml:space="preserve"> </w:t>
            </w:r>
            <w:r w:rsidR="00287587" w:rsidRPr="00AD33EB">
              <w:t>under the</w:t>
            </w:r>
            <w:r w:rsidR="00372A8D">
              <w:rPr>
                <w:rFonts w:ascii="Segoe UI" w:eastAsia="Times New Roman" w:hAnsi="Segoe UI" w:cs="Segoe UI"/>
                <w:color w:val="auto"/>
                <w:sz w:val="20"/>
                <w:szCs w:val="20"/>
                <w:lang w:eastAsia="en-AU"/>
              </w:rPr>
              <w:t xml:space="preserve"> </w:t>
            </w:r>
            <w:hyperlink r:id="rId12" w:history="1">
              <w:r w:rsidR="000E6097" w:rsidRPr="00983B8E">
                <w:rPr>
                  <w:rStyle w:val="Hyperlink"/>
                  <w:rFonts w:asciiTheme="minorHAnsi" w:hAnsiTheme="minorHAnsi"/>
                </w:rPr>
                <w:t>National Greenhouse and Energy Reporting (NGER) Scheme</w:t>
              </w:r>
            </w:hyperlink>
            <w:r w:rsidR="00C86E1C">
              <w:t>.</w:t>
            </w:r>
            <w:r w:rsidR="00983B8E">
              <w:rPr>
                <w:rStyle w:val="FootnoteReference"/>
              </w:rPr>
              <w:footnoteReference w:id="4"/>
            </w:r>
            <w:r w:rsidR="00C86E1C">
              <w:t xml:space="preserve"> </w:t>
            </w:r>
            <w:r w:rsidR="00385736">
              <w:t>Reports for the 2024</w:t>
            </w:r>
            <w:r w:rsidR="00385BB8">
              <w:t>–</w:t>
            </w:r>
            <w:r w:rsidR="00385736">
              <w:t>25 period</w:t>
            </w:r>
            <w:r w:rsidR="00C86E1C">
              <w:t xml:space="preserve"> were </w:t>
            </w:r>
            <w:r w:rsidR="00385736">
              <w:t>due by</w:t>
            </w:r>
            <w:r w:rsidR="000E6097" w:rsidRPr="000E6097">
              <w:t xml:space="preserve"> 31 October 2025</w:t>
            </w:r>
            <w:r w:rsidR="002759C5">
              <w:t>.</w:t>
            </w:r>
            <w:r w:rsidR="00736919">
              <w:t xml:space="preserve"> </w:t>
            </w:r>
          </w:p>
          <w:p w14:paraId="012B5FE6" w14:textId="521D5307" w:rsidR="00DD2F05" w:rsidRDefault="00717BBA" w:rsidP="00136693">
            <w:pPr>
              <w:spacing w:after="120"/>
            </w:pPr>
            <w:r>
              <w:t>T</w:t>
            </w:r>
            <w:r w:rsidR="00221AE9" w:rsidRPr="00221AE9">
              <w:t>h</w:t>
            </w:r>
            <w:r w:rsidR="00151A3A">
              <w:t>e annual NGER</w:t>
            </w:r>
            <w:r w:rsidR="00221AE9" w:rsidRPr="00221AE9">
              <w:t xml:space="preserve"> data is used to identify facilities covered </w:t>
            </w:r>
            <w:r w:rsidR="00122334">
              <w:t xml:space="preserve">by </w:t>
            </w:r>
            <w:r w:rsidR="00EF6162">
              <w:t>the S</w:t>
            </w:r>
            <w:r w:rsidR="00122334">
              <w:t xml:space="preserve">afeguard </w:t>
            </w:r>
            <w:r w:rsidR="00EF6162">
              <w:t xml:space="preserve">Mechanism </w:t>
            </w:r>
            <w:r w:rsidR="00221AE9" w:rsidRPr="00221AE9">
              <w:t xml:space="preserve">and </w:t>
            </w:r>
            <w:r w:rsidR="00567E4E">
              <w:t xml:space="preserve">to </w:t>
            </w:r>
            <w:r w:rsidR="00221AE9" w:rsidRPr="00221AE9">
              <w:t xml:space="preserve">calculate </w:t>
            </w:r>
            <w:r w:rsidR="00395B0A">
              <w:t xml:space="preserve">each </w:t>
            </w:r>
            <w:r w:rsidR="00567E4E">
              <w:t>covered facilit</w:t>
            </w:r>
            <w:r w:rsidR="00395B0A">
              <w:t>y</w:t>
            </w:r>
            <w:r w:rsidR="00567E4E">
              <w:t>’</w:t>
            </w:r>
            <w:r w:rsidR="00395B0A">
              <w:t>s</w:t>
            </w:r>
            <w:r w:rsidR="00221AE9" w:rsidRPr="00221AE9">
              <w:t xml:space="preserve"> baseline and net position</w:t>
            </w:r>
            <w:r w:rsidR="00D52A21">
              <w:t xml:space="preserve"> number</w:t>
            </w:r>
            <w:r w:rsidR="00AC32F2">
              <w:t xml:space="preserve"> for the relevant reporting period</w:t>
            </w:r>
            <w:r w:rsidR="00D52A21">
              <w:t>.</w:t>
            </w:r>
            <w:r w:rsidR="00C5183E">
              <w:t xml:space="preserve"> </w:t>
            </w:r>
          </w:p>
          <w:p w14:paraId="290CEC04" w14:textId="0BB0393E" w:rsidR="009C3EAE" w:rsidRDefault="00EC167F" w:rsidP="00136693">
            <w:pPr>
              <w:spacing w:after="120"/>
            </w:pPr>
            <w:r>
              <w:t xml:space="preserve">Responsible emitters </w:t>
            </w:r>
            <w:r w:rsidR="00221AE9" w:rsidRPr="00221AE9">
              <w:t xml:space="preserve">have until 31 </w:t>
            </w:r>
            <w:r w:rsidR="005224E8" w:rsidRPr="00221AE9">
              <w:t>Mar</w:t>
            </w:r>
            <w:r w:rsidR="005224E8">
              <w:t xml:space="preserve">ch 2026 to meet </w:t>
            </w:r>
            <w:r w:rsidR="00F31BCA">
              <w:t xml:space="preserve">their </w:t>
            </w:r>
            <w:r w:rsidR="00D52A21">
              <w:t xml:space="preserve">2024–25 </w:t>
            </w:r>
            <w:r w:rsidR="00F31BCA">
              <w:t>safeguard</w:t>
            </w:r>
            <w:r w:rsidR="00D52A21">
              <w:t xml:space="preserve"> </w:t>
            </w:r>
            <w:r w:rsidR="005224E8">
              <w:t>compliance obligation</w:t>
            </w:r>
            <w:r w:rsidR="00F31BCA">
              <w:t>s</w:t>
            </w:r>
            <w:r w:rsidR="003F3589">
              <w:t>,</w:t>
            </w:r>
            <w:r w:rsidR="005224E8">
              <w:t xml:space="preserve"> </w:t>
            </w:r>
            <w:r w:rsidR="008F45D6">
              <w:t xml:space="preserve">either through the surrender of ACCUs and/or SMCs or </w:t>
            </w:r>
            <w:r w:rsidR="002234BD">
              <w:t xml:space="preserve">with </w:t>
            </w:r>
            <w:r w:rsidR="00221AE9" w:rsidRPr="00221AE9">
              <w:t>the</w:t>
            </w:r>
            <w:r w:rsidR="008F45D6">
              <w:t xml:space="preserve"> use of</w:t>
            </w:r>
            <w:r w:rsidR="00221AE9" w:rsidRPr="00221AE9">
              <w:t xml:space="preserve"> flexibility measures</w:t>
            </w:r>
            <w:r w:rsidR="008F45D6">
              <w:t xml:space="preserve">. </w:t>
            </w:r>
          </w:p>
          <w:p w14:paraId="56D2729C" w14:textId="51857EFA" w:rsidR="009C3EAE" w:rsidRDefault="00614083" w:rsidP="00136693">
            <w:pPr>
              <w:spacing w:after="120"/>
            </w:pPr>
            <w:r>
              <w:t xml:space="preserve">Each year, the </w:t>
            </w:r>
            <w:r w:rsidR="008F45D6">
              <w:t>CER conducts an</w:t>
            </w:r>
            <w:r w:rsidR="00221AE9" w:rsidRPr="00221AE9">
              <w:t xml:space="preserve"> assurance program </w:t>
            </w:r>
            <w:r w:rsidR="008F45D6">
              <w:t xml:space="preserve">to </w:t>
            </w:r>
            <w:r w:rsidR="008F3392">
              <w:t xml:space="preserve">ensure the </w:t>
            </w:r>
            <w:r w:rsidR="00990957">
              <w:t xml:space="preserve">accuracy and completeness </w:t>
            </w:r>
            <w:r w:rsidR="008F3392">
              <w:t>of</w:t>
            </w:r>
            <w:r w:rsidR="008F45D6">
              <w:t xml:space="preserve"> NGER data</w:t>
            </w:r>
            <w:r w:rsidR="00091671">
              <w:t>. Wher</w:t>
            </w:r>
            <w:r w:rsidR="00354B51">
              <w:t xml:space="preserve">e errors are identified, </w:t>
            </w:r>
            <w:r w:rsidR="00087340">
              <w:t>the CER may require resubmission of NGER reports</w:t>
            </w:r>
            <w:r w:rsidR="00312097">
              <w:t>.</w:t>
            </w:r>
          </w:p>
          <w:p w14:paraId="1F252A3D" w14:textId="66458F8B" w:rsidR="00737137" w:rsidRDefault="00EB108F" w:rsidP="00136693">
            <w:pPr>
              <w:spacing w:after="120"/>
            </w:pPr>
            <w:r>
              <w:t xml:space="preserve">These </w:t>
            </w:r>
            <w:r w:rsidRPr="00221AE9">
              <w:t xml:space="preserve">processes </w:t>
            </w:r>
            <w:r w:rsidR="001045A4">
              <w:t>and the outcome of</w:t>
            </w:r>
            <w:r w:rsidR="00C259E3">
              <w:t xml:space="preserve"> </w:t>
            </w:r>
            <w:r w:rsidR="00E27AAD">
              <w:t xml:space="preserve">applications for </w:t>
            </w:r>
            <w:r w:rsidR="00C259E3" w:rsidRPr="00C259E3">
              <w:t xml:space="preserve">flexibility </w:t>
            </w:r>
            <w:r w:rsidR="00311935">
              <w:t>measures</w:t>
            </w:r>
            <w:r w:rsidR="001045A4">
              <w:t xml:space="preserve"> </w:t>
            </w:r>
            <w:r w:rsidRPr="00221AE9">
              <w:t xml:space="preserve">can result in changes to </w:t>
            </w:r>
            <w:r w:rsidR="00A178E8">
              <w:t>key safeguard statistics such as</w:t>
            </w:r>
            <w:r w:rsidR="00737137">
              <w:t>:</w:t>
            </w:r>
            <w:r w:rsidR="00A178E8">
              <w:t xml:space="preserve"> </w:t>
            </w:r>
          </w:p>
          <w:p w14:paraId="463BDBFC" w14:textId="5CDDF320" w:rsidR="00737137" w:rsidRDefault="00EB108F" w:rsidP="005A0ED6">
            <w:pPr>
              <w:pStyle w:val="CERbullets"/>
              <w:ind w:left="961"/>
            </w:pPr>
            <w:r w:rsidRPr="00221AE9">
              <w:t xml:space="preserve">covered emissions </w:t>
            </w:r>
          </w:p>
          <w:p w14:paraId="10D663C3" w14:textId="49C4E831" w:rsidR="006A31AF" w:rsidRDefault="006A31AF" w:rsidP="005A0ED6">
            <w:pPr>
              <w:pStyle w:val="CERbullets"/>
              <w:ind w:left="961"/>
            </w:pPr>
            <w:r>
              <w:t>baseline numbers</w:t>
            </w:r>
          </w:p>
          <w:p w14:paraId="67133BCF" w14:textId="56217D8A" w:rsidR="00737137" w:rsidRDefault="00EB108F" w:rsidP="005A0ED6">
            <w:pPr>
              <w:pStyle w:val="CERbullets"/>
              <w:ind w:left="961"/>
            </w:pPr>
            <w:r w:rsidRPr="00221AE9">
              <w:t>net positions</w:t>
            </w:r>
          </w:p>
          <w:p w14:paraId="3C292214" w14:textId="102B3E7A" w:rsidR="00C071DF" w:rsidRDefault="00A40893" w:rsidP="005A0ED6">
            <w:pPr>
              <w:pStyle w:val="CERbullets"/>
              <w:ind w:left="961"/>
            </w:pPr>
            <w:r>
              <w:t xml:space="preserve">the </w:t>
            </w:r>
            <w:r w:rsidR="00EB108F" w:rsidRPr="00221AE9">
              <w:t>number of SMCs likely to be issued</w:t>
            </w:r>
            <w:r w:rsidR="00EB108F">
              <w:t>.</w:t>
            </w:r>
            <w:r w:rsidR="000527FA">
              <w:t xml:space="preserve"> </w:t>
            </w:r>
          </w:p>
          <w:p w14:paraId="352970B3" w14:textId="37F6E75F" w:rsidR="008C64F2" w:rsidRPr="0092568B" w:rsidRDefault="008C64F2" w:rsidP="000D6228">
            <w:pPr>
              <w:spacing w:after="120"/>
            </w:pPr>
            <w:r>
              <w:t xml:space="preserve">The CER will publish comprehensive </w:t>
            </w:r>
            <w:r w:rsidR="000527FA">
              <w:t xml:space="preserve">and finalised </w:t>
            </w:r>
            <w:r>
              <w:t>data</w:t>
            </w:r>
            <w:r w:rsidR="009A4709">
              <w:t xml:space="preserve"> and insights</w:t>
            </w:r>
            <w:r>
              <w:t xml:space="preserve"> for the 2024</w:t>
            </w:r>
            <w:r w:rsidR="00A144BE">
              <w:t>–</w:t>
            </w:r>
            <w:r>
              <w:t>25 safeguard compliance period by 15 April 2026.</w:t>
            </w:r>
          </w:p>
        </w:tc>
      </w:tr>
    </w:tbl>
    <w:p w14:paraId="7317C66C" w14:textId="77777777" w:rsidR="00A3080A" w:rsidRDefault="00A3080A" w:rsidP="00F0263C"/>
    <w:p w14:paraId="29BA4C70" w14:textId="6686454D" w:rsidR="00D81941" w:rsidRDefault="00D81941" w:rsidP="00F0263C">
      <w:r w:rsidRPr="00D81941">
        <w:t xml:space="preserve">The publication of preliminary data </w:t>
      </w:r>
      <w:r w:rsidR="00BE153E" w:rsidRPr="00D81941">
        <w:t>provides</w:t>
      </w:r>
      <w:r w:rsidRPr="00D81941">
        <w:t xml:space="preserve"> important indicative information on scheme outcomes each year. Under the Climate Change Act, the CER provides preliminary data to the C</w:t>
      </w:r>
      <w:r w:rsidR="00A96B8D">
        <w:t xml:space="preserve">limate </w:t>
      </w:r>
      <w:r w:rsidRPr="00D81941">
        <w:t>C</w:t>
      </w:r>
      <w:r w:rsidR="00A96B8D">
        <w:t>hange Authority (</w:t>
      </w:r>
      <w:r w:rsidRPr="00D81941">
        <w:t>CCA</w:t>
      </w:r>
      <w:r w:rsidR="00A96B8D">
        <w:t>)</w:t>
      </w:r>
      <w:r w:rsidRPr="00D81941">
        <w:t xml:space="preserve"> for their </w:t>
      </w:r>
      <w:hyperlink r:id="rId13" w:history="1">
        <w:r w:rsidR="00BE153E">
          <w:rPr>
            <w:rStyle w:val="Hyperlink"/>
            <w:rFonts w:asciiTheme="minorHAnsi" w:hAnsiTheme="minorHAnsi"/>
          </w:rPr>
          <w:t>A</w:t>
        </w:r>
        <w:r w:rsidR="00BE153E" w:rsidRPr="003D5C37">
          <w:rPr>
            <w:rStyle w:val="Hyperlink"/>
            <w:rFonts w:asciiTheme="minorHAnsi" w:hAnsiTheme="minorHAnsi"/>
          </w:rPr>
          <w:t xml:space="preserve">nnual </w:t>
        </w:r>
        <w:r w:rsidR="00BE153E">
          <w:rPr>
            <w:rStyle w:val="Hyperlink"/>
            <w:rFonts w:asciiTheme="minorHAnsi" w:hAnsiTheme="minorHAnsi"/>
          </w:rPr>
          <w:t>P</w:t>
        </w:r>
        <w:r w:rsidR="00BE153E" w:rsidRPr="003D5C37">
          <w:rPr>
            <w:rStyle w:val="Hyperlink"/>
            <w:rFonts w:asciiTheme="minorHAnsi" w:hAnsiTheme="minorHAnsi"/>
          </w:rPr>
          <w:t xml:space="preserve">rogress </w:t>
        </w:r>
        <w:r w:rsidR="00BE153E">
          <w:rPr>
            <w:rStyle w:val="Hyperlink"/>
            <w:rFonts w:asciiTheme="minorHAnsi" w:hAnsiTheme="minorHAnsi"/>
          </w:rPr>
          <w:t>R</w:t>
        </w:r>
        <w:r w:rsidR="00BE153E" w:rsidRPr="003D5C37">
          <w:rPr>
            <w:rStyle w:val="Hyperlink"/>
            <w:rFonts w:asciiTheme="minorHAnsi" w:hAnsiTheme="minorHAnsi"/>
          </w:rPr>
          <w:t>eport</w:t>
        </w:r>
      </w:hyperlink>
      <w:r w:rsidR="00BE153E">
        <w:rPr>
          <w:rStyle w:val="FootnoteReference"/>
        </w:rPr>
        <w:footnoteReference w:id="5"/>
      </w:r>
      <w:r w:rsidR="00BE153E">
        <w:t xml:space="preserve"> </w:t>
      </w:r>
      <w:r w:rsidRPr="00D81941">
        <w:t>on climate policies. The Minister for Climate Change and Energy must have regard to the report when advising Parliament about the effectiveness of policies including the Safeguard Mechanism in the Annual Climate Change Statement</w:t>
      </w:r>
      <w:r w:rsidR="00FD6549">
        <w:t>.</w:t>
      </w:r>
    </w:p>
    <w:p w14:paraId="45E162B1" w14:textId="7293F7F7" w:rsidR="002201A2" w:rsidRDefault="00C01090" w:rsidP="00A424A6">
      <w:pPr>
        <w:pStyle w:val="CERbullets"/>
        <w:numPr>
          <w:ilvl w:val="0"/>
          <w:numId w:val="0"/>
        </w:numPr>
      </w:pPr>
      <w:r>
        <w:t>T</w:t>
      </w:r>
      <w:r w:rsidR="00430D4A">
        <w:t xml:space="preserve">he </w:t>
      </w:r>
      <w:r w:rsidR="00123A06">
        <w:t xml:space="preserve">preliminary </w:t>
      </w:r>
      <w:r w:rsidR="00430D4A">
        <w:t xml:space="preserve">data </w:t>
      </w:r>
      <w:r w:rsidR="009C3777">
        <w:t xml:space="preserve">for the safeguard compliance period is reported below.  </w:t>
      </w:r>
      <w:r w:rsidR="007516B5">
        <w:t>The data</w:t>
      </w:r>
      <w:r w:rsidR="009C3777">
        <w:t xml:space="preserve"> does not fully </w:t>
      </w:r>
      <w:proofErr w:type="gramStart"/>
      <w:r w:rsidR="009C3777">
        <w:t>take into account</w:t>
      </w:r>
      <w:proofErr w:type="gramEnd"/>
      <w:r w:rsidR="00430D4A">
        <w:t xml:space="preserve"> </w:t>
      </w:r>
      <w:r w:rsidR="009C3777">
        <w:t xml:space="preserve">the approval of any ongoing </w:t>
      </w:r>
      <w:r w:rsidR="009C3777" w:rsidRPr="00833E0B">
        <w:t>flexibility measure</w:t>
      </w:r>
      <w:r w:rsidR="009C3777">
        <w:t xml:space="preserve"> applications, such as TEBA applications. </w:t>
      </w:r>
      <w:r w:rsidR="002869F8">
        <w:t xml:space="preserve">It is </w:t>
      </w:r>
      <w:r w:rsidR="002869F8">
        <w:lastRenderedPageBreak/>
        <w:t xml:space="preserve">important to note that the final data </w:t>
      </w:r>
      <w:r w:rsidR="002C27A5">
        <w:t>that will be published</w:t>
      </w:r>
      <w:r w:rsidR="00897363">
        <w:t xml:space="preserve"> by 15 April 2026 will change after</w:t>
      </w:r>
      <w:r w:rsidR="00ED4FEE">
        <w:t xml:space="preserve"> the </w:t>
      </w:r>
      <w:r w:rsidR="001F33AF">
        <w:t>CER’s asse</w:t>
      </w:r>
      <w:r w:rsidR="00FC1C28">
        <w:t>ss</w:t>
      </w:r>
      <w:r w:rsidR="001F33AF">
        <w:t xml:space="preserve">ment of </w:t>
      </w:r>
      <w:r w:rsidR="00565AE6">
        <w:t>NGER report</w:t>
      </w:r>
      <w:r w:rsidR="00B722DC">
        <w:t>s</w:t>
      </w:r>
      <w:r w:rsidR="00565AE6">
        <w:t xml:space="preserve"> and </w:t>
      </w:r>
      <w:r w:rsidR="00B722DC">
        <w:t xml:space="preserve">applications </w:t>
      </w:r>
      <w:r w:rsidR="00D04FB1">
        <w:t xml:space="preserve">for </w:t>
      </w:r>
      <w:r w:rsidR="00565AE6">
        <w:t>flexibility measure</w:t>
      </w:r>
      <w:r w:rsidR="001F33AF">
        <w:t>s</w:t>
      </w:r>
      <w:r w:rsidR="00897363">
        <w:t>.</w:t>
      </w:r>
    </w:p>
    <w:p w14:paraId="3ADA4992" w14:textId="6A407550" w:rsidR="001D58CE" w:rsidRPr="00F0263C" w:rsidRDefault="007516B5" w:rsidP="00A424A6">
      <w:pPr>
        <w:pStyle w:val="CERbullets"/>
        <w:numPr>
          <w:ilvl w:val="0"/>
          <w:numId w:val="0"/>
        </w:numPr>
      </w:pPr>
      <w:r>
        <w:t>F</w:t>
      </w:r>
      <w:r w:rsidR="001D58CE">
        <w:t>or the 2024</w:t>
      </w:r>
      <w:r w:rsidR="00E42063">
        <w:t>–</w:t>
      </w:r>
      <w:r w:rsidR="001D58CE">
        <w:t>25 safeguard compliance period</w:t>
      </w:r>
      <w:r>
        <w:t>:</w:t>
      </w:r>
      <w:r w:rsidR="00C31AC4">
        <w:t xml:space="preserve"> </w:t>
      </w:r>
    </w:p>
    <w:p w14:paraId="7172DD4A" w14:textId="5B98351B" w:rsidR="006E0638" w:rsidRPr="006E0638" w:rsidRDefault="00811363" w:rsidP="0065622E">
      <w:pPr>
        <w:pStyle w:val="CERbullets"/>
        <w:ind w:left="993" w:hanging="426"/>
      </w:pPr>
      <w:r w:rsidRPr="00AF7746">
        <w:t>2</w:t>
      </w:r>
      <w:r w:rsidR="008D4194" w:rsidRPr="00AF7746">
        <w:t>0</w:t>
      </w:r>
      <w:r w:rsidR="00F40087" w:rsidRPr="00AF7746">
        <w:t>7</w:t>
      </w:r>
      <w:r w:rsidRPr="006E0638">
        <w:t xml:space="preserve"> </w:t>
      </w:r>
      <w:r w:rsidR="006E0638" w:rsidRPr="006E0638">
        <w:t>facilities were covered by t</w:t>
      </w:r>
      <w:r w:rsidR="00700970">
        <w:t>h</w:t>
      </w:r>
      <w:r w:rsidR="006E0638" w:rsidRPr="006E0638">
        <w:t>e Safeguard Mechanism</w:t>
      </w:r>
      <w:r w:rsidR="00F05595">
        <w:t xml:space="preserve">, somewhat lower than </w:t>
      </w:r>
      <w:r w:rsidR="00D231B9">
        <w:t xml:space="preserve">219 facilities </w:t>
      </w:r>
      <w:r w:rsidR="007B5543">
        <w:t>covered</w:t>
      </w:r>
      <w:r w:rsidR="00D231B9">
        <w:t xml:space="preserve"> in </w:t>
      </w:r>
      <w:r w:rsidR="007B5543">
        <w:t xml:space="preserve">the </w:t>
      </w:r>
      <w:r w:rsidR="0056515B" w:rsidRPr="43DB5E1D">
        <w:rPr>
          <w:rFonts w:eastAsiaTheme="minorEastAsia" w:cstheme="minorBidi"/>
        </w:rPr>
        <w:t>202</w:t>
      </w:r>
      <w:r w:rsidR="00FD1C52">
        <w:rPr>
          <w:rFonts w:eastAsiaTheme="minorEastAsia" w:cstheme="minorBidi"/>
        </w:rPr>
        <w:t>3</w:t>
      </w:r>
      <w:r w:rsidR="0056515B">
        <w:rPr>
          <w:rFonts w:eastAsiaTheme="minorEastAsia" w:cstheme="minorBidi"/>
        </w:rPr>
        <w:t>–</w:t>
      </w:r>
      <w:r w:rsidR="0056515B" w:rsidRPr="43DB5E1D">
        <w:rPr>
          <w:rFonts w:eastAsiaTheme="minorEastAsia" w:cstheme="minorBidi"/>
        </w:rPr>
        <w:t>2</w:t>
      </w:r>
      <w:r w:rsidR="00FD1C52">
        <w:rPr>
          <w:rFonts w:eastAsiaTheme="minorEastAsia" w:cstheme="minorBidi"/>
        </w:rPr>
        <w:t>4</w:t>
      </w:r>
      <w:r w:rsidR="0056515B" w:rsidRPr="43DB5E1D">
        <w:rPr>
          <w:rFonts w:eastAsiaTheme="minorEastAsia" w:cstheme="minorBidi"/>
        </w:rPr>
        <w:t xml:space="preserve"> </w:t>
      </w:r>
      <w:r w:rsidR="007B5543">
        <w:t>reporting period</w:t>
      </w:r>
      <w:r w:rsidR="005531C2">
        <w:t>.</w:t>
      </w:r>
      <w:r w:rsidR="00D10C59">
        <w:t xml:space="preserve"> </w:t>
      </w:r>
      <w:r w:rsidR="004B591A">
        <w:t>Yearly c</w:t>
      </w:r>
      <w:r w:rsidR="00D10C59">
        <w:t xml:space="preserve">hanges in </w:t>
      </w:r>
      <w:r w:rsidR="004B591A">
        <w:t xml:space="preserve">the number of facilities covered by the Safeguard Mechanism </w:t>
      </w:r>
      <w:r w:rsidR="00AF7746">
        <w:t>are</w:t>
      </w:r>
      <w:r w:rsidR="004B591A">
        <w:t xml:space="preserve"> often reflective of facilities </w:t>
      </w:r>
      <w:r w:rsidR="000548D3">
        <w:t>rising and falli</w:t>
      </w:r>
      <w:r w:rsidR="0001353C">
        <w:t>ng</w:t>
      </w:r>
      <w:r w:rsidR="001C40F1">
        <w:t xml:space="preserve"> </w:t>
      </w:r>
      <w:r w:rsidR="000A3D40">
        <w:t xml:space="preserve">above and below the </w:t>
      </w:r>
      <w:r w:rsidR="007B5543">
        <w:t>100,000</w:t>
      </w:r>
      <w:r w:rsidR="00D36D2B">
        <w:t xml:space="preserve"> </w:t>
      </w:r>
      <w:r w:rsidR="00133EB1" w:rsidRPr="006E0638">
        <w:t>tCO</w:t>
      </w:r>
      <w:r w:rsidR="00133EB1" w:rsidRPr="0065622E">
        <w:t>2</w:t>
      </w:r>
      <w:r w:rsidR="00133EB1" w:rsidRPr="00BD0EB3">
        <w:t>-e</w:t>
      </w:r>
      <w:r w:rsidR="0062066E">
        <w:t xml:space="preserve"> </w:t>
      </w:r>
      <w:r w:rsidR="000A3D40">
        <w:t xml:space="preserve">Safeguard threshold. </w:t>
      </w:r>
    </w:p>
    <w:p w14:paraId="46C45E12" w14:textId="18198AB9" w:rsidR="006E0638" w:rsidRDefault="00634D62" w:rsidP="0065622E">
      <w:pPr>
        <w:pStyle w:val="CERbullets"/>
        <w:ind w:left="993" w:hanging="426"/>
      </w:pPr>
      <w:r w:rsidRPr="002A232A">
        <w:t xml:space="preserve">Covered emissions </w:t>
      </w:r>
      <w:bookmarkStart w:id="3" w:name="_Hlk214614033"/>
      <w:r w:rsidR="006E0638" w:rsidRPr="002A232A">
        <w:t>reduced</w:t>
      </w:r>
      <w:r w:rsidR="00787265">
        <w:t xml:space="preserve"> b</w:t>
      </w:r>
      <w:r w:rsidR="00787265" w:rsidRPr="006C5201">
        <w:t>y</w:t>
      </w:r>
      <w:r w:rsidR="006E0638" w:rsidRPr="006C5201">
        <w:t xml:space="preserve"> </w:t>
      </w:r>
      <w:r w:rsidR="002A232A" w:rsidRPr="006C5201">
        <w:t>2.</w:t>
      </w:r>
      <w:r w:rsidR="00354D26">
        <w:t>4</w:t>
      </w:r>
      <w:r w:rsidR="00A2418A" w:rsidRPr="006C5201">
        <w:t>%</w:t>
      </w:r>
      <w:r w:rsidR="006A06FE">
        <w:t xml:space="preserve"> </w:t>
      </w:r>
      <w:r w:rsidR="006E0638" w:rsidRPr="006E0638">
        <w:t xml:space="preserve">from </w:t>
      </w:r>
      <w:r w:rsidR="00266F34" w:rsidRPr="0028073E">
        <w:t>13</w:t>
      </w:r>
      <w:r w:rsidR="001A14FC">
        <w:t>5.9</w:t>
      </w:r>
      <w:r w:rsidR="006E0638" w:rsidRPr="0028073E">
        <w:t xml:space="preserve"> million</w:t>
      </w:r>
      <w:r w:rsidR="006E0638" w:rsidRPr="006E0638">
        <w:t xml:space="preserve"> tonnes of carbon dioxide equivalent (MtCO</w:t>
      </w:r>
      <w:r w:rsidR="006E0638" w:rsidRPr="0065622E">
        <w:t>2</w:t>
      </w:r>
      <w:r w:rsidR="006E0638" w:rsidRPr="00BD0EB3">
        <w:t>-e</w:t>
      </w:r>
      <w:r w:rsidR="006E0638" w:rsidRPr="006E0638">
        <w:t>) in 202</w:t>
      </w:r>
      <w:r w:rsidR="00A65BB4">
        <w:t>3</w:t>
      </w:r>
      <w:r w:rsidR="0028073E">
        <w:t>–</w:t>
      </w:r>
      <w:r w:rsidR="006E0638" w:rsidRPr="006E0638">
        <w:t>2</w:t>
      </w:r>
      <w:r w:rsidR="00A65BB4">
        <w:t>4</w:t>
      </w:r>
      <w:r w:rsidR="006E0638" w:rsidRPr="006E0638">
        <w:t xml:space="preserve">, to </w:t>
      </w:r>
      <w:r w:rsidR="00326632" w:rsidRPr="00623919">
        <w:t>132.</w:t>
      </w:r>
      <w:r w:rsidR="00C14168">
        <w:t>7</w:t>
      </w:r>
      <w:r w:rsidR="00266F34">
        <w:t xml:space="preserve"> </w:t>
      </w:r>
      <w:r w:rsidR="006E0638" w:rsidRPr="006E0638">
        <w:t>MtCO</w:t>
      </w:r>
      <w:r w:rsidR="0063068B" w:rsidRPr="0065622E">
        <w:t>2</w:t>
      </w:r>
      <w:r w:rsidR="006E0638" w:rsidRPr="00B65FF8">
        <w:t>-e</w:t>
      </w:r>
      <w:r w:rsidR="006E0638" w:rsidRPr="006E0638">
        <w:t xml:space="preserve"> in </w:t>
      </w:r>
      <w:r w:rsidR="00EA22B1">
        <w:t>202</w:t>
      </w:r>
      <w:r w:rsidR="00A65BB4">
        <w:t>4</w:t>
      </w:r>
      <w:r w:rsidR="00EA22B1">
        <w:t>–2</w:t>
      </w:r>
      <w:r w:rsidR="00A65BB4">
        <w:t>5</w:t>
      </w:r>
      <w:r w:rsidR="006E0638" w:rsidRPr="006E0638">
        <w:t>.</w:t>
      </w:r>
      <w:bookmarkEnd w:id="3"/>
    </w:p>
    <w:p w14:paraId="32817B5E" w14:textId="7AE08793" w:rsidR="00481B69" w:rsidRPr="0065622E" w:rsidRDefault="00023CA0" w:rsidP="0065622E">
      <w:pPr>
        <w:pStyle w:val="CERbullets"/>
        <w:ind w:left="993" w:hanging="426"/>
      </w:pPr>
      <w:r>
        <w:t>Cumulative</w:t>
      </w:r>
      <w:r w:rsidR="00CA2F0C">
        <w:t xml:space="preserve"> </w:t>
      </w:r>
      <w:r>
        <w:t>baselines</w:t>
      </w:r>
      <w:r w:rsidR="00CA2F0C">
        <w:t xml:space="preserve"> </w:t>
      </w:r>
      <w:r w:rsidR="00D33768">
        <w:t xml:space="preserve">reduced </w:t>
      </w:r>
      <w:r w:rsidR="005531C2">
        <w:t xml:space="preserve">by </w:t>
      </w:r>
      <w:r w:rsidR="001C209C">
        <w:t>7.</w:t>
      </w:r>
      <w:r w:rsidR="001062ED">
        <w:t>3</w:t>
      </w:r>
      <w:r w:rsidR="005531C2">
        <w:t xml:space="preserve">% </w:t>
      </w:r>
      <w:r w:rsidR="00D33768">
        <w:t xml:space="preserve">from </w:t>
      </w:r>
      <w:r w:rsidR="0028073E">
        <w:t>136.1 MtCO</w:t>
      </w:r>
      <w:r w:rsidR="0028073E" w:rsidRPr="0065622E">
        <w:t>2</w:t>
      </w:r>
      <w:r w:rsidR="0028073E">
        <w:t>-e</w:t>
      </w:r>
      <w:r w:rsidR="0028073E" w:rsidRPr="0065622E">
        <w:t xml:space="preserve"> </w:t>
      </w:r>
      <w:r w:rsidR="0028073E">
        <w:t>in 202</w:t>
      </w:r>
      <w:r w:rsidR="0098488D">
        <w:t>3</w:t>
      </w:r>
      <w:r w:rsidR="0028073E">
        <w:t>–24</w:t>
      </w:r>
      <w:r w:rsidR="002E284E">
        <w:t xml:space="preserve">, to </w:t>
      </w:r>
      <w:r w:rsidR="00E21853">
        <w:t>12</w:t>
      </w:r>
      <w:r w:rsidR="00DD3059">
        <w:t>6</w:t>
      </w:r>
      <w:r w:rsidR="00C01D15">
        <w:t>.</w:t>
      </w:r>
      <w:r w:rsidR="00DD3059">
        <w:t>1</w:t>
      </w:r>
      <w:r w:rsidR="00C01D15">
        <w:t xml:space="preserve"> </w:t>
      </w:r>
      <w:r w:rsidR="003A7E1E">
        <w:t>MtCO</w:t>
      </w:r>
      <w:r w:rsidR="003A7E1E" w:rsidRPr="0065622E">
        <w:t>2</w:t>
      </w:r>
      <w:r w:rsidR="003A7E1E">
        <w:t xml:space="preserve">-e in 2024–25. </w:t>
      </w:r>
      <w:r w:rsidR="00C33748">
        <w:t xml:space="preserve">As the baseline decline rate </w:t>
      </w:r>
      <w:r w:rsidR="00877602">
        <w:t>continues to add</w:t>
      </w:r>
      <w:r w:rsidR="00D939A0">
        <w:t xml:space="preserve"> </w:t>
      </w:r>
      <w:r w:rsidR="00C33748">
        <w:t xml:space="preserve">each year, </w:t>
      </w:r>
      <w:r w:rsidR="004423CD">
        <w:t>this</w:t>
      </w:r>
      <w:r w:rsidR="00C33748">
        <w:t xml:space="preserve"> will continue to place downward pressure on emissions</w:t>
      </w:r>
      <w:r w:rsidR="00B72B1D">
        <w:t>.</w:t>
      </w:r>
      <w:r w:rsidR="006E6B0E">
        <w:t xml:space="preserve"> </w:t>
      </w:r>
    </w:p>
    <w:p w14:paraId="0FE598B1" w14:textId="24F05C43" w:rsidR="006E0638" w:rsidRPr="006E0638" w:rsidRDefault="00553AB8" w:rsidP="0065622E">
      <w:pPr>
        <w:pStyle w:val="CERbullets"/>
        <w:ind w:left="993" w:hanging="426"/>
      </w:pPr>
      <w:r>
        <w:t xml:space="preserve">Responsible emitters of </w:t>
      </w:r>
      <w:r w:rsidR="008A5377">
        <w:t>5</w:t>
      </w:r>
      <w:r w:rsidR="008D0896">
        <w:t xml:space="preserve">9 </w:t>
      </w:r>
      <w:r w:rsidR="006E0638">
        <w:t xml:space="preserve">facilities </w:t>
      </w:r>
      <w:r w:rsidR="004506FE">
        <w:t xml:space="preserve">reported covered emissions below their baseline </w:t>
      </w:r>
      <w:r w:rsidR="00101B5A">
        <w:t xml:space="preserve">and </w:t>
      </w:r>
      <w:r w:rsidR="007A2DC1">
        <w:t xml:space="preserve">may be </w:t>
      </w:r>
      <w:r w:rsidR="009B2748">
        <w:t>eligible for</w:t>
      </w:r>
      <w:r w:rsidR="006E0638">
        <w:t xml:space="preserve"> an approximate total of </w:t>
      </w:r>
      <w:r w:rsidR="001157F9">
        <w:t xml:space="preserve">7 </w:t>
      </w:r>
      <w:r w:rsidR="006E0638">
        <w:t xml:space="preserve">million SMCs. </w:t>
      </w:r>
      <w:r w:rsidR="00FC45A7">
        <w:t xml:space="preserve">This </w:t>
      </w:r>
      <w:r w:rsidR="00827361">
        <w:t>would be</w:t>
      </w:r>
      <w:r w:rsidR="00FC45A7">
        <w:t xml:space="preserve"> a decrease </w:t>
      </w:r>
      <w:r w:rsidR="003C2754">
        <w:t>in</w:t>
      </w:r>
      <w:r w:rsidR="00FC45A7">
        <w:t xml:space="preserve"> </w:t>
      </w:r>
      <w:r w:rsidR="00E05210">
        <w:t xml:space="preserve">SMC eligibility </w:t>
      </w:r>
      <w:r w:rsidR="009E1534">
        <w:t>of</w:t>
      </w:r>
      <w:r w:rsidR="004461E4">
        <w:t xml:space="preserve"> </w:t>
      </w:r>
      <w:r w:rsidR="00A623CD">
        <w:t>1</w:t>
      </w:r>
      <w:r w:rsidR="005F6EFC">
        <w:t>5.</w:t>
      </w:r>
      <w:r w:rsidR="00354D26">
        <w:t>7</w:t>
      </w:r>
      <w:r w:rsidR="002A007A">
        <w:t xml:space="preserve">% </w:t>
      </w:r>
      <w:r w:rsidR="00F6752E" w:rsidRPr="00F6752E">
        <w:t>from the 8.3 million issued in 2023-24.</w:t>
      </w:r>
    </w:p>
    <w:p w14:paraId="5CD10ADE" w14:textId="7B7EB345" w:rsidR="006E0638" w:rsidRDefault="00E833AD" w:rsidP="0065622E">
      <w:pPr>
        <w:pStyle w:val="CERbullets"/>
        <w:ind w:left="993" w:hanging="426"/>
      </w:pPr>
      <w:r>
        <w:t xml:space="preserve">Covered emissions for </w:t>
      </w:r>
      <w:r w:rsidR="003C716D">
        <w:t>14</w:t>
      </w:r>
      <w:r w:rsidR="00CC5FE1">
        <w:t>3</w:t>
      </w:r>
      <w:r w:rsidR="003C716D">
        <w:t xml:space="preserve"> </w:t>
      </w:r>
      <w:r w:rsidR="006E0638">
        <w:t>facilities</w:t>
      </w:r>
      <w:r w:rsidR="00EC12E3" w:rsidRPr="00067BA9">
        <w:rPr>
          <w:vertAlign w:val="superscript"/>
        </w:rPr>
        <w:footnoteReference w:id="6"/>
      </w:r>
      <w:r w:rsidR="009B2748">
        <w:t xml:space="preserve"> </w:t>
      </w:r>
      <w:r w:rsidR="008435A8">
        <w:t>exceed</w:t>
      </w:r>
      <w:r>
        <w:t>ed</w:t>
      </w:r>
      <w:r w:rsidR="007B69D6">
        <w:t xml:space="preserve"> their baseline</w:t>
      </w:r>
      <w:r w:rsidR="005E25A4">
        <w:t>s</w:t>
      </w:r>
      <w:r w:rsidR="007B69D6">
        <w:t>, to</w:t>
      </w:r>
      <w:r w:rsidR="005E25A4">
        <w:t>talling</w:t>
      </w:r>
      <w:r w:rsidR="006E0638">
        <w:t xml:space="preserve"> </w:t>
      </w:r>
      <w:r w:rsidR="00DF46E9">
        <w:t>13</w:t>
      </w:r>
      <w:r w:rsidR="00B24A8B">
        <w:t>.</w:t>
      </w:r>
      <w:r w:rsidR="003C4C45">
        <w:t>7</w:t>
      </w:r>
      <w:r w:rsidR="00B24A8B">
        <w:t xml:space="preserve"> </w:t>
      </w:r>
      <w:r w:rsidR="006E0638">
        <w:t>MtCO</w:t>
      </w:r>
      <w:r w:rsidR="006E0638" w:rsidRPr="0065622E">
        <w:t>2</w:t>
      </w:r>
      <w:r w:rsidR="006E0638">
        <w:t>-e</w:t>
      </w:r>
      <w:r w:rsidR="005E25A4">
        <w:t xml:space="preserve"> in </w:t>
      </w:r>
      <w:r w:rsidR="003D21C7">
        <w:t xml:space="preserve">potential </w:t>
      </w:r>
      <w:r w:rsidR="005E25A4">
        <w:t>excess</w:t>
      </w:r>
      <w:r w:rsidR="006E0638">
        <w:t xml:space="preserve">. </w:t>
      </w:r>
      <w:r w:rsidR="00F908A4">
        <w:t xml:space="preserve">Total excesses have increased by </w:t>
      </w:r>
      <w:r w:rsidR="00372D52">
        <w:t>48.9</w:t>
      </w:r>
      <w:r w:rsidR="00F908A4">
        <w:t>% from 2023–24</w:t>
      </w:r>
      <w:r w:rsidR="0014033E">
        <w:t>,</w:t>
      </w:r>
      <w:r w:rsidR="0014033E" w:rsidRPr="0014033E">
        <w:t xml:space="preserve"> up from</w:t>
      </w:r>
      <w:r w:rsidR="00626BA5">
        <w:t xml:space="preserve"> the</w:t>
      </w:r>
      <w:r w:rsidR="0014033E" w:rsidRPr="0014033E">
        <w:t xml:space="preserve"> 9.2 MtCO2-e in total excess in 2023-24.</w:t>
      </w:r>
      <w:r w:rsidR="00F908A4">
        <w:t xml:space="preserve"> </w:t>
      </w:r>
      <w:r w:rsidR="0070482B">
        <w:t>Responsible emitters can man</w:t>
      </w:r>
      <w:r w:rsidR="005053E2">
        <w:t>a</w:t>
      </w:r>
      <w:r w:rsidR="0070482B">
        <w:t xml:space="preserve">ge </w:t>
      </w:r>
      <w:r w:rsidR="00CF216D">
        <w:t>excess</w:t>
      </w:r>
      <w:r w:rsidR="00747CCA">
        <w:t>es</w:t>
      </w:r>
      <w:r w:rsidR="00CF216D">
        <w:t xml:space="preserve"> </w:t>
      </w:r>
      <w:r w:rsidR="0070482B">
        <w:t xml:space="preserve">in a </w:t>
      </w:r>
      <w:r w:rsidR="00777162">
        <w:t>variety</w:t>
      </w:r>
      <w:r w:rsidR="0070482B">
        <w:t xml:space="preserve"> of ways</w:t>
      </w:r>
      <w:r w:rsidR="00EA5B93">
        <w:t>, including</w:t>
      </w:r>
      <w:r w:rsidR="0070482B">
        <w:t xml:space="preserve"> by </w:t>
      </w:r>
      <w:r w:rsidR="00777162">
        <w:t xml:space="preserve">surrendering </w:t>
      </w:r>
      <w:r w:rsidR="008E4437">
        <w:t xml:space="preserve">ACCUs </w:t>
      </w:r>
      <w:r w:rsidR="00B61E3B">
        <w:t>and/</w:t>
      </w:r>
      <w:r w:rsidR="008E4437">
        <w:t>or SMCs,</w:t>
      </w:r>
      <w:r w:rsidR="00777162">
        <w:t xml:space="preserve"> or accessing flexible compliance measures.</w:t>
      </w:r>
    </w:p>
    <w:p w14:paraId="441239AA" w14:textId="41CD5210" w:rsidR="0010538A" w:rsidRPr="006E0638" w:rsidRDefault="00E85072" w:rsidP="0065622E">
      <w:pPr>
        <w:pStyle w:val="CERbullets"/>
        <w:ind w:left="993" w:hanging="426"/>
      </w:pPr>
      <w:r w:rsidRPr="002604FD">
        <w:t xml:space="preserve">One </w:t>
      </w:r>
      <w:r w:rsidR="0010538A" w:rsidRPr="002604FD">
        <w:t>new</w:t>
      </w:r>
      <w:r w:rsidR="0010538A">
        <w:t xml:space="preserve"> </w:t>
      </w:r>
      <w:r w:rsidR="7FC541BD">
        <w:t>e</w:t>
      </w:r>
      <w:r w:rsidR="003F556D">
        <w:t xml:space="preserve">missions </w:t>
      </w:r>
      <w:r w:rsidR="59CB6F7B">
        <w:t>i</w:t>
      </w:r>
      <w:r w:rsidR="003F556D">
        <w:t xml:space="preserve">ntensity </w:t>
      </w:r>
      <w:r w:rsidR="34D8973E">
        <w:t>d</w:t>
      </w:r>
      <w:r w:rsidR="003F556D">
        <w:t xml:space="preserve">etermination </w:t>
      </w:r>
      <w:r w:rsidR="0010538A" w:rsidRPr="006E0638">
        <w:t>(EI</w:t>
      </w:r>
      <w:r w:rsidR="0010538A">
        <w:t>D</w:t>
      </w:r>
      <w:r w:rsidR="0010538A" w:rsidRPr="006E0638">
        <w:t xml:space="preserve">) </w:t>
      </w:r>
      <w:r w:rsidR="0010538A">
        <w:t>application</w:t>
      </w:r>
      <w:r w:rsidR="0010538A" w:rsidRPr="006E0638">
        <w:t xml:space="preserve"> w</w:t>
      </w:r>
      <w:r w:rsidR="00422673">
        <w:t>as</w:t>
      </w:r>
      <w:r w:rsidR="0010538A" w:rsidRPr="006E0638">
        <w:t xml:space="preserve"> </w:t>
      </w:r>
      <w:r w:rsidR="00591B67">
        <w:t xml:space="preserve">made </w:t>
      </w:r>
      <w:r w:rsidR="00BE65F5">
        <w:t>for 202</w:t>
      </w:r>
      <w:r w:rsidR="008300E2">
        <w:t>4</w:t>
      </w:r>
      <w:r w:rsidR="001B542A">
        <w:t>–</w:t>
      </w:r>
      <w:r w:rsidR="008300E2">
        <w:t>25</w:t>
      </w:r>
      <w:r w:rsidR="00E67D6D">
        <w:t>.</w:t>
      </w:r>
    </w:p>
    <w:p w14:paraId="7D503328" w14:textId="3881FDFA" w:rsidR="006E0638" w:rsidRPr="006E0638" w:rsidRDefault="00D47B35" w:rsidP="0065622E">
      <w:pPr>
        <w:pStyle w:val="CERbullets"/>
        <w:ind w:left="993" w:hanging="426"/>
      </w:pPr>
      <w:r w:rsidRPr="00D62F60">
        <w:t xml:space="preserve">Responsible emitters of </w:t>
      </w:r>
      <w:r w:rsidR="00752F33">
        <w:t>9</w:t>
      </w:r>
      <w:r w:rsidR="00752F33" w:rsidRPr="006E0638">
        <w:t xml:space="preserve"> </w:t>
      </w:r>
      <w:r w:rsidR="006E0638" w:rsidRPr="006E0638">
        <w:t>facilities</w:t>
      </w:r>
      <w:r w:rsidR="003A4852">
        <w:t xml:space="preserve"> have</w:t>
      </w:r>
      <w:r w:rsidR="004E5630">
        <w:t xml:space="preserve"> applied to</w:t>
      </w:r>
      <w:r w:rsidR="006E0638" w:rsidRPr="006E0638">
        <w:t xml:space="preserve"> </w:t>
      </w:r>
      <w:r w:rsidR="004E5630" w:rsidRPr="006E0638">
        <w:t>access</w:t>
      </w:r>
      <w:r w:rsidR="004E5630">
        <w:t xml:space="preserve"> </w:t>
      </w:r>
      <w:r w:rsidR="006E0638" w:rsidRPr="006E0638">
        <w:t>flexibility measures, including:</w:t>
      </w:r>
    </w:p>
    <w:p w14:paraId="08C78729" w14:textId="6D24C5E7" w:rsidR="006E0638" w:rsidRPr="006E0638" w:rsidRDefault="00AD4A27" w:rsidP="002B4029">
      <w:pPr>
        <w:pStyle w:val="CERbullets"/>
        <w:numPr>
          <w:ilvl w:val="1"/>
          <w:numId w:val="21"/>
        </w:numPr>
        <w:ind w:left="1353"/>
      </w:pPr>
      <w:r w:rsidRPr="0038252A">
        <w:t>7</w:t>
      </w:r>
      <w:r>
        <w:rPr>
          <w:color w:val="FF0000"/>
        </w:rPr>
        <w:t xml:space="preserve"> </w:t>
      </w:r>
      <w:r w:rsidR="009847A2">
        <w:t>new</w:t>
      </w:r>
      <w:r w:rsidR="00CA6B3B">
        <w:t xml:space="preserve"> </w:t>
      </w:r>
      <w:r w:rsidR="006E0638">
        <w:t xml:space="preserve">TEBA </w:t>
      </w:r>
      <w:r w:rsidR="00782A8F">
        <w:t>applications</w:t>
      </w:r>
      <w:r w:rsidR="008F2426">
        <w:t>.</w:t>
      </w:r>
      <w:r w:rsidR="0073697F">
        <w:t xml:space="preserve"> </w:t>
      </w:r>
    </w:p>
    <w:p w14:paraId="2B45BBA8" w14:textId="5908F31C" w:rsidR="00514A94" w:rsidRPr="00892D9C" w:rsidRDefault="001C3E4F" w:rsidP="002B4029">
      <w:pPr>
        <w:pStyle w:val="CERbullets"/>
        <w:numPr>
          <w:ilvl w:val="0"/>
          <w:numId w:val="43"/>
        </w:numPr>
        <w:ind w:left="1350"/>
      </w:pPr>
      <w:r w:rsidRPr="00892D9C">
        <w:t xml:space="preserve">2 </w:t>
      </w:r>
      <w:r w:rsidR="006E0638" w:rsidRPr="00892D9C">
        <w:t xml:space="preserve">new MYMP </w:t>
      </w:r>
      <w:r w:rsidR="00B46221" w:rsidRPr="00892D9C">
        <w:t>applications</w:t>
      </w:r>
      <w:r w:rsidR="001E3397" w:rsidRPr="00892D9C">
        <w:t xml:space="preserve">. </w:t>
      </w:r>
      <w:r w:rsidR="00B46221" w:rsidRPr="00892D9C">
        <w:t xml:space="preserve"> </w:t>
      </w:r>
    </w:p>
    <w:p w14:paraId="30FF8D96" w14:textId="222B56CA" w:rsidR="00442881" w:rsidRPr="00EA105F" w:rsidRDefault="00AE3AB8" w:rsidP="0065622E">
      <w:pPr>
        <w:pStyle w:val="CERbullets"/>
        <w:ind w:left="993" w:hanging="426"/>
      </w:pPr>
      <w:r w:rsidRPr="00DF46E9">
        <w:t>No</w:t>
      </w:r>
      <w:r w:rsidRPr="00EA105F">
        <w:t xml:space="preserve"> new </w:t>
      </w:r>
      <w:r w:rsidR="00966A2D" w:rsidRPr="00EA105F">
        <w:t xml:space="preserve">borrowing adjustment </w:t>
      </w:r>
      <w:r w:rsidR="005B3145" w:rsidRPr="00EA105F">
        <w:t xml:space="preserve">determination </w:t>
      </w:r>
      <w:r w:rsidR="00896508" w:rsidRPr="00EA105F">
        <w:t xml:space="preserve">applications </w:t>
      </w:r>
      <w:r w:rsidRPr="00EA105F">
        <w:t xml:space="preserve">have </w:t>
      </w:r>
      <w:r w:rsidR="00966A2D" w:rsidRPr="00EA105F">
        <w:t>been received</w:t>
      </w:r>
      <w:r w:rsidR="006B143B" w:rsidRPr="00EA105F">
        <w:t xml:space="preserve">. </w:t>
      </w:r>
      <w:r w:rsidR="00E5473A" w:rsidRPr="00EA105F">
        <w:t>Applications</w:t>
      </w:r>
      <w:r w:rsidR="006B143B" w:rsidRPr="00EA105F">
        <w:t xml:space="preserve"> remain open until </w:t>
      </w:r>
      <w:r w:rsidR="00E5473A" w:rsidRPr="00EA105F">
        <w:t>28 February 2026.</w:t>
      </w:r>
    </w:p>
    <w:p w14:paraId="5976D1EA" w14:textId="5AE935B5" w:rsidR="00AD14CC" w:rsidRPr="00EA105F" w:rsidRDefault="00AD14CC" w:rsidP="0065622E">
      <w:pPr>
        <w:pStyle w:val="CERbullets"/>
        <w:ind w:left="993" w:hanging="426"/>
      </w:pPr>
      <w:r w:rsidRPr="00EA105F">
        <w:t xml:space="preserve">No applications for exemption declarations </w:t>
      </w:r>
      <w:r w:rsidR="00AD4A27">
        <w:t>were</w:t>
      </w:r>
      <w:r w:rsidRPr="00EA105F">
        <w:t xml:space="preserve"> received.</w:t>
      </w:r>
      <w:r w:rsidR="004C10EB" w:rsidRPr="00EA105F">
        <w:t xml:space="preserve"> </w:t>
      </w:r>
    </w:p>
    <w:p w14:paraId="73DC6A0B" w14:textId="77777777" w:rsidR="00665220" w:rsidRDefault="00665220">
      <w:pPr>
        <w:spacing w:after="0"/>
        <w:rPr>
          <w:rFonts w:asciiTheme="majorHAnsi" w:eastAsia="Times New Roman" w:hAnsiTheme="majorHAnsi"/>
          <w:b/>
          <w:bCs/>
          <w:sz w:val="32"/>
          <w:szCs w:val="32"/>
        </w:rPr>
      </w:pPr>
      <w:bookmarkStart w:id="4" w:name="_Toc209527551"/>
      <w:r>
        <w:br w:type="page"/>
      </w:r>
    </w:p>
    <w:p w14:paraId="528D460B" w14:textId="3D9E1019" w:rsidR="004C40E0" w:rsidRDefault="00CA1BDF" w:rsidP="00A53F67">
      <w:pPr>
        <w:pStyle w:val="Heading2"/>
      </w:pPr>
      <w:r>
        <w:t xml:space="preserve">Initial </w:t>
      </w:r>
      <w:r w:rsidR="00A53F67">
        <w:t>insights</w:t>
      </w:r>
      <w:r>
        <w:t xml:space="preserve"> </w:t>
      </w:r>
      <w:r w:rsidR="006E0638" w:rsidRPr="006E0638">
        <w:t xml:space="preserve">for </w:t>
      </w:r>
      <w:r w:rsidR="00EA22B1">
        <w:t>202</w:t>
      </w:r>
      <w:r>
        <w:t>4</w:t>
      </w:r>
      <w:r w:rsidR="00EA22B1">
        <w:t>–2</w:t>
      </w:r>
      <w:r>
        <w:t>5</w:t>
      </w:r>
      <w:bookmarkEnd w:id="4"/>
    </w:p>
    <w:p w14:paraId="7FEEC668" w14:textId="63DC206E" w:rsidR="00827361" w:rsidRDefault="001158A4" w:rsidP="00091320">
      <w:r>
        <w:t xml:space="preserve">The second year of the </w:t>
      </w:r>
      <w:r w:rsidR="00A10FB9">
        <w:t xml:space="preserve">reformed Safeguard Mechanism has </w:t>
      </w:r>
      <w:r w:rsidR="00103CE8">
        <w:t xml:space="preserve">shown </w:t>
      </w:r>
      <w:r w:rsidR="006317C7">
        <w:t xml:space="preserve">further </w:t>
      </w:r>
      <w:r w:rsidR="00D51B6E">
        <w:t>encouraging signs</w:t>
      </w:r>
      <w:r w:rsidR="00F45661">
        <w:t>, wi</w:t>
      </w:r>
      <w:r w:rsidR="00F45661" w:rsidRPr="00A66E28">
        <w:t>th a</w:t>
      </w:r>
      <w:r w:rsidR="005E2E74" w:rsidRPr="00A66E28">
        <w:rPr>
          <w:rFonts w:ascii="Aptos" w:hAnsi="Aptos" w:cs="Aptos"/>
          <w:color w:val="auto"/>
        </w:rPr>
        <w:t xml:space="preserve"> 3.</w:t>
      </w:r>
      <w:r w:rsidR="00A66E28" w:rsidRPr="00A66E28">
        <w:rPr>
          <w:rFonts w:ascii="Aptos" w:hAnsi="Aptos" w:cs="Aptos"/>
          <w:color w:val="auto"/>
        </w:rPr>
        <w:t>2</w:t>
      </w:r>
      <w:r w:rsidR="00C920B2" w:rsidRPr="00A66E28">
        <w:rPr>
          <w:rFonts w:ascii="Aptos" w:hAnsi="Aptos" w:cs="Aptos"/>
          <w:color w:val="auto"/>
        </w:rPr>
        <w:t xml:space="preserve"> MtCO</w:t>
      </w:r>
      <w:r w:rsidR="00C920B2" w:rsidRPr="00A66E28">
        <w:rPr>
          <w:rFonts w:ascii="Aptos" w:hAnsi="Aptos" w:cs="Aptos"/>
          <w:color w:val="auto"/>
          <w:vertAlign w:val="subscript"/>
        </w:rPr>
        <w:t>2</w:t>
      </w:r>
      <w:r w:rsidR="00C920B2" w:rsidRPr="00A66E28">
        <w:rPr>
          <w:rFonts w:ascii="Aptos" w:hAnsi="Aptos" w:cs="Aptos"/>
          <w:color w:val="auto"/>
        </w:rPr>
        <w:t>-e</w:t>
      </w:r>
      <w:r w:rsidR="00C920B2" w:rsidRPr="00A66E28">
        <w:rPr>
          <w:rFonts w:ascii="Aptos" w:hAnsi="Aptos" w:cs="Aptos"/>
          <w:color w:val="auto"/>
          <w:vertAlign w:val="subscript"/>
        </w:rPr>
        <w:t xml:space="preserve"> </w:t>
      </w:r>
      <w:r w:rsidR="00C920B2" w:rsidRPr="00A66E28">
        <w:rPr>
          <w:rFonts w:ascii="Aptos" w:hAnsi="Aptos" w:cs="Aptos"/>
          <w:color w:val="auto"/>
        </w:rPr>
        <w:t>reduction</w:t>
      </w:r>
      <w:r w:rsidR="009813C7" w:rsidRPr="00A66E28">
        <w:rPr>
          <w:rFonts w:ascii="Aptos" w:hAnsi="Aptos" w:cs="Aptos"/>
          <w:color w:val="auto"/>
        </w:rPr>
        <w:t xml:space="preserve"> in covered emissions</w:t>
      </w:r>
      <w:r w:rsidR="002810E4" w:rsidRPr="00A66E28">
        <w:rPr>
          <w:rFonts w:ascii="Aptos" w:hAnsi="Aptos" w:cs="Aptos"/>
          <w:color w:val="auto"/>
        </w:rPr>
        <w:t xml:space="preserve"> from</w:t>
      </w:r>
      <w:r w:rsidR="00C920B2" w:rsidRPr="00A66E28">
        <w:rPr>
          <w:rFonts w:ascii="Aptos" w:hAnsi="Aptos" w:cs="Aptos"/>
          <w:color w:val="auto"/>
        </w:rPr>
        <w:t xml:space="preserve"> 2023</w:t>
      </w:r>
      <w:r w:rsidR="00BA5FFE" w:rsidRPr="00A66E28">
        <w:rPr>
          <w:rFonts w:ascii="Aptos" w:hAnsi="Aptos" w:cs="Aptos"/>
          <w:color w:val="auto"/>
        </w:rPr>
        <w:t>–</w:t>
      </w:r>
      <w:r w:rsidR="00C920B2" w:rsidRPr="00A66E28">
        <w:rPr>
          <w:rFonts w:ascii="Aptos" w:hAnsi="Aptos" w:cs="Aptos"/>
          <w:color w:val="auto"/>
        </w:rPr>
        <w:t>24</w:t>
      </w:r>
      <w:r w:rsidR="00AD644E" w:rsidRPr="00A66E28">
        <w:t>.</w:t>
      </w:r>
      <w:r w:rsidR="00200C16" w:rsidRPr="00A66E28">
        <w:t xml:space="preserve"> This foll</w:t>
      </w:r>
      <w:r w:rsidR="00306F11" w:rsidRPr="00A66E28">
        <w:t>ows the 2.</w:t>
      </w:r>
      <w:r w:rsidR="00DB5AB9">
        <w:t>7</w:t>
      </w:r>
      <w:r w:rsidR="00E64901" w:rsidRPr="00A66E28">
        <w:t xml:space="preserve"> </w:t>
      </w:r>
      <w:r w:rsidR="00306F11" w:rsidRPr="00A66E28">
        <w:rPr>
          <w:rFonts w:ascii="Aptos" w:hAnsi="Aptos" w:cs="Aptos"/>
          <w:color w:val="auto"/>
        </w:rPr>
        <w:t>MtCO</w:t>
      </w:r>
      <w:r w:rsidR="00306F11" w:rsidRPr="00A66E28">
        <w:rPr>
          <w:rFonts w:ascii="Aptos" w:hAnsi="Aptos" w:cs="Aptos"/>
          <w:color w:val="auto"/>
          <w:vertAlign w:val="subscript"/>
        </w:rPr>
        <w:t>2</w:t>
      </w:r>
      <w:r w:rsidR="00B65FF8" w:rsidRPr="00A66E28">
        <w:rPr>
          <w:rFonts w:ascii="Aptos" w:hAnsi="Aptos" w:cs="Aptos"/>
          <w:color w:val="auto"/>
        </w:rPr>
        <w:t>-e</w:t>
      </w:r>
      <w:r w:rsidR="00306F11" w:rsidRPr="00A66E28">
        <w:rPr>
          <w:rFonts w:ascii="Aptos" w:hAnsi="Aptos" w:cs="Aptos"/>
          <w:color w:val="auto"/>
          <w:vertAlign w:val="subscript"/>
        </w:rPr>
        <w:t xml:space="preserve"> </w:t>
      </w:r>
      <w:r w:rsidR="00306F11" w:rsidRPr="00A66E28">
        <w:t>reduction that o</w:t>
      </w:r>
      <w:r w:rsidR="00306F11">
        <w:t xml:space="preserve">ccurred </w:t>
      </w:r>
      <w:r w:rsidR="001D7A19">
        <w:t>for the 2022</w:t>
      </w:r>
      <w:r w:rsidR="00BA5FFE">
        <w:t>–</w:t>
      </w:r>
      <w:r w:rsidR="001D7A19">
        <w:t>23 period.</w:t>
      </w:r>
    </w:p>
    <w:p w14:paraId="424FC09E" w14:textId="227A900D" w:rsidR="006317C7" w:rsidRDefault="24553AA1" w:rsidP="008B4075">
      <w:pPr>
        <w:pStyle w:val="CERbullets"/>
        <w:numPr>
          <w:ilvl w:val="0"/>
          <w:numId w:val="0"/>
        </w:numPr>
      </w:pPr>
      <w:r w:rsidRPr="68786A86">
        <w:rPr>
          <w:b/>
          <w:bCs/>
        </w:rPr>
        <w:t>Figure</w:t>
      </w:r>
      <w:r w:rsidR="00FE724B" w:rsidRPr="68786A86">
        <w:rPr>
          <w:b/>
          <w:bCs/>
        </w:rPr>
        <w:t xml:space="preserve"> </w:t>
      </w:r>
      <w:r w:rsidR="00B80BA4" w:rsidRPr="68786A86">
        <w:rPr>
          <w:b/>
          <w:bCs/>
        </w:rPr>
        <w:t>1</w:t>
      </w:r>
      <w:r w:rsidR="00FE724B" w:rsidRPr="68786A86">
        <w:rPr>
          <w:b/>
          <w:bCs/>
        </w:rPr>
        <w:t xml:space="preserve"> - Year-on-year comparison of total covered emissions</w:t>
      </w:r>
      <w:r w:rsidR="00E64901">
        <w:rPr>
          <w:rStyle w:val="FootnoteReference"/>
          <w:b/>
          <w:bCs/>
        </w:rPr>
        <w:footnoteReference w:id="7"/>
      </w:r>
    </w:p>
    <w:p w14:paraId="5D31679C" w14:textId="22F4ED24" w:rsidR="006317C7" w:rsidRDefault="00E87907" w:rsidP="00091320">
      <w:r>
        <w:rPr>
          <w:noProof/>
        </w:rPr>
        <w:drawing>
          <wp:inline distT="0" distB="0" distL="0" distR="0" wp14:anchorId="2A12AF44" wp14:editId="6F681987">
            <wp:extent cx="6111875" cy="3341370"/>
            <wp:effectExtent l="0" t="0" r="3175" b="11430"/>
            <wp:docPr id="2106735918" name="Chart 1" descr="Bar chart titled 'Total covered emissions' showing five financial years from 2020–21 to 2024–25. Emissions rise slightly from 137.1 MtCO₂e in 2020–21 to a peak of 138.6 MtCO₂e in 2022–23, then fall to 135.9 MtCO₂e in 2023–24 and 132.7 MtCO₂e in 2024–25. A black line connects the values, and a vertical dashed line marks the 2023 Safeguard Mechanism reforms. The final bar for 2024–25 is orange. Earlier bars are green.">
              <a:extLst xmlns:a="http://schemas.openxmlformats.org/drawingml/2006/main">
                <a:ext uri="{FF2B5EF4-FFF2-40B4-BE49-F238E27FC236}">
                  <a16:creationId xmlns:a16="http://schemas.microsoft.com/office/drawing/2014/main" id="{2CC2015D-147B-D0B1-3E45-3DDFC76C96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B482EF1" w14:textId="781D5455" w:rsidR="0043758D" w:rsidRDefault="000C566C" w:rsidP="008D0D92">
      <w:pPr>
        <w:rPr>
          <w:rFonts w:ascii="Aptos" w:hAnsi="Aptos" w:cs="Aptos"/>
          <w:color w:val="auto"/>
        </w:rPr>
      </w:pPr>
      <w:r>
        <w:rPr>
          <w:rFonts w:ascii="Aptos" w:hAnsi="Aptos" w:cs="Aptos"/>
          <w:color w:val="auto"/>
        </w:rPr>
        <w:t>A</w:t>
      </w:r>
      <w:r w:rsidR="004D4A60">
        <w:rPr>
          <w:rFonts w:ascii="Aptos" w:hAnsi="Aptos" w:cs="Aptos"/>
          <w:color w:val="auto"/>
        </w:rPr>
        <w:t xml:space="preserve"> gradual </w:t>
      </w:r>
      <w:r w:rsidR="002231D7">
        <w:rPr>
          <w:rFonts w:ascii="Aptos" w:hAnsi="Aptos" w:cs="Aptos"/>
          <w:color w:val="auto"/>
        </w:rPr>
        <w:t>and predictabl</w:t>
      </w:r>
      <w:r>
        <w:rPr>
          <w:rFonts w:ascii="Aptos" w:hAnsi="Aptos" w:cs="Aptos"/>
          <w:color w:val="auto"/>
        </w:rPr>
        <w:t>e</w:t>
      </w:r>
      <w:r w:rsidR="002231D7">
        <w:rPr>
          <w:rFonts w:ascii="Aptos" w:hAnsi="Aptos" w:cs="Aptos"/>
          <w:color w:val="auto"/>
        </w:rPr>
        <w:t xml:space="preserve"> </w:t>
      </w:r>
      <w:r w:rsidR="009D7562">
        <w:rPr>
          <w:rFonts w:ascii="Aptos" w:hAnsi="Aptos" w:cs="Aptos"/>
          <w:color w:val="auto"/>
        </w:rPr>
        <w:t xml:space="preserve">decline in </w:t>
      </w:r>
      <w:r w:rsidR="00753FF9">
        <w:rPr>
          <w:rFonts w:ascii="Aptos" w:hAnsi="Aptos" w:cs="Aptos"/>
          <w:color w:val="auto"/>
        </w:rPr>
        <w:t xml:space="preserve">production-adjusted </w:t>
      </w:r>
      <w:r w:rsidR="009D7562">
        <w:rPr>
          <w:rFonts w:ascii="Aptos" w:hAnsi="Aptos" w:cs="Aptos"/>
          <w:color w:val="auto"/>
        </w:rPr>
        <w:t xml:space="preserve">baselines </w:t>
      </w:r>
      <w:r w:rsidR="002231D7">
        <w:rPr>
          <w:rFonts w:ascii="Aptos" w:hAnsi="Aptos" w:cs="Aptos"/>
          <w:color w:val="auto"/>
        </w:rPr>
        <w:t>each year</w:t>
      </w:r>
      <w:r w:rsidR="00AE21E7" w:rsidRPr="00AE21E7">
        <w:rPr>
          <w:rFonts w:ascii="Aptos" w:hAnsi="Aptos" w:cs="Aptos"/>
          <w:color w:val="auto"/>
        </w:rPr>
        <w:t xml:space="preserve"> </w:t>
      </w:r>
      <w:r w:rsidR="00AE21E7">
        <w:rPr>
          <w:rFonts w:ascii="Aptos" w:hAnsi="Aptos" w:cs="Aptos"/>
          <w:color w:val="auto"/>
        </w:rPr>
        <w:t>is a key design feature of the reformed Safeguard Mechanism</w:t>
      </w:r>
      <w:r w:rsidR="002231D7">
        <w:rPr>
          <w:rFonts w:ascii="Aptos" w:hAnsi="Aptos" w:cs="Aptos"/>
          <w:color w:val="auto"/>
        </w:rPr>
        <w:t>.</w:t>
      </w:r>
      <w:r w:rsidR="009E0745">
        <w:rPr>
          <w:rFonts w:ascii="Aptos" w:hAnsi="Aptos" w:cs="Aptos"/>
          <w:color w:val="auto"/>
        </w:rPr>
        <w:t xml:space="preserve"> </w:t>
      </w:r>
    </w:p>
    <w:p w14:paraId="2B603DD1" w14:textId="77AB57A0" w:rsidR="00C60877" w:rsidRDefault="00FD041F" w:rsidP="00C157E7">
      <w:r w:rsidRPr="6721223B">
        <w:rPr>
          <w:rFonts w:ascii="Aptos" w:hAnsi="Aptos" w:cs="Aptos"/>
          <w:color w:val="auto"/>
        </w:rPr>
        <w:t>Ther</w:t>
      </w:r>
      <w:r w:rsidR="000460F6" w:rsidRPr="6721223B">
        <w:rPr>
          <w:rFonts w:ascii="Aptos" w:hAnsi="Aptos" w:cs="Aptos"/>
          <w:color w:val="auto"/>
        </w:rPr>
        <w:t xml:space="preserve">e have been </w:t>
      </w:r>
      <w:r w:rsidR="00D51B6E" w:rsidRPr="6721223B">
        <w:rPr>
          <w:rFonts w:ascii="Aptos" w:hAnsi="Aptos" w:cs="Aptos"/>
          <w:color w:val="auto"/>
        </w:rPr>
        <w:t>positive indications from</w:t>
      </w:r>
      <w:r w:rsidR="000460F6" w:rsidRPr="6721223B">
        <w:rPr>
          <w:rFonts w:ascii="Aptos" w:hAnsi="Aptos" w:cs="Aptos"/>
          <w:color w:val="auto"/>
        </w:rPr>
        <w:t xml:space="preserve"> some safeguard facilities </w:t>
      </w:r>
      <w:r w:rsidR="00E55E6A">
        <w:rPr>
          <w:rFonts w:ascii="Aptos" w:hAnsi="Aptos" w:cs="Aptos"/>
          <w:color w:val="auto"/>
        </w:rPr>
        <w:t xml:space="preserve">that have provided evidence of </w:t>
      </w:r>
      <w:r w:rsidR="000460F6" w:rsidRPr="6721223B">
        <w:rPr>
          <w:rFonts w:ascii="Aptos" w:hAnsi="Aptos" w:cs="Aptos"/>
          <w:color w:val="auto"/>
        </w:rPr>
        <w:t xml:space="preserve">onsite abatement </w:t>
      </w:r>
      <w:r w:rsidR="00CD3003" w:rsidRPr="6721223B">
        <w:rPr>
          <w:rFonts w:ascii="Aptos" w:hAnsi="Aptos" w:cs="Aptos"/>
          <w:color w:val="auto"/>
        </w:rPr>
        <w:t>activities</w:t>
      </w:r>
      <w:r w:rsidR="00BF18F3" w:rsidRPr="6721223B">
        <w:rPr>
          <w:rFonts w:ascii="Aptos" w:hAnsi="Aptos" w:cs="Aptos"/>
          <w:color w:val="auto"/>
        </w:rPr>
        <w:t xml:space="preserve"> </w:t>
      </w:r>
      <w:r w:rsidR="000460F6" w:rsidRPr="6721223B">
        <w:rPr>
          <w:rFonts w:ascii="Aptos" w:hAnsi="Aptos" w:cs="Aptos"/>
          <w:color w:val="auto"/>
        </w:rPr>
        <w:t>taking place</w:t>
      </w:r>
      <w:r w:rsidR="004476BE" w:rsidRPr="6721223B">
        <w:rPr>
          <w:rFonts w:ascii="Aptos" w:hAnsi="Aptos" w:cs="Aptos"/>
          <w:color w:val="auto"/>
        </w:rPr>
        <w:t>. This</w:t>
      </w:r>
      <w:r w:rsidR="000460F6" w:rsidRPr="6721223B">
        <w:rPr>
          <w:rFonts w:ascii="Aptos" w:hAnsi="Aptos" w:cs="Aptos"/>
          <w:color w:val="auto"/>
        </w:rPr>
        <w:t xml:space="preserve"> includ</w:t>
      </w:r>
      <w:r w:rsidR="004476BE" w:rsidRPr="6721223B">
        <w:rPr>
          <w:rFonts w:ascii="Aptos" w:hAnsi="Aptos" w:cs="Aptos"/>
          <w:color w:val="auto"/>
        </w:rPr>
        <w:t>es</w:t>
      </w:r>
      <w:r w:rsidR="000460F6" w:rsidRPr="6721223B">
        <w:rPr>
          <w:rFonts w:ascii="Aptos" w:hAnsi="Aptos" w:cs="Aptos"/>
          <w:color w:val="auto"/>
        </w:rPr>
        <w:t xml:space="preserve"> </w:t>
      </w:r>
      <w:r w:rsidR="00091320" w:rsidRPr="6721223B">
        <w:rPr>
          <w:rFonts w:ascii="Aptos" w:hAnsi="Aptos" w:cs="Aptos"/>
          <w:color w:val="auto"/>
        </w:rPr>
        <w:t>commercialised nitrous oxide (N</w:t>
      </w:r>
      <w:r w:rsidR="00091320" w:rsidRPr="6721223B">
        <w:rPr>
          <w:rFonts w:ascii="Aptos" w:hAnsi="Aptos" w:cs="Aptos"/>
          <w:color w:val="auto"/>
          <w:vertAlign w:val="subscript"/>
        </w:rPr>
        <w:t>2</w:t>
      </w:r>
      <w:r w:rsidR="00091320" w:rsidRPr="6721223B">
        <w:rPr>
          <w:rFonts w:ascii="Aptos" w:hAnsi="Aptos" w:cs="Aptos"/>
          <w:color w:val="auto"/>
        </w:rPr>
        <w:t xml:space="preserve">O) tertiary abatement, carbon capture </w:t>
      </w:r>
      <w:r w:rsidR="00592C49" w:rsidRPr="6721223B">
        <w:rPr>
          <w:rFonts w:ascii="Aptos" w:hAnsi="Aptos" w:cs="Aptos"/>
          <w:color w:val="auto"/>
        </w:rPr>
        <w:t xml:space="preserve">and </w:t>
      </w:r>
      <w:r w:rsidR="00091320" w:rsidRPr="6721223B">
        <w:rPr>
          <w:rFonts w:ascii="Aptos" w:hAnsi="Aptos" w:cs="Aptos"/>
          <w:color w:val="auto"/>
        </w:rPr>
        <w:t>storage (CCS), equipment upgrades and the use of lower</w:t>
      </w:r>
      <w:r w:rsidR="00CF7D6D" w:rsidRPr="6721223B">
        <w:rPr>
          <w:rFonts w:ascii="Aptos" w:hAnsi="Aptos" w:cs="Aptos"/>
          <w:color w:val="auto"/>
        </w:rPr>
        <w:t>-</w:t>
      </w:r>
      <w:r w:rsidR="00091320" w:rsidRPr="6721223B">
        <w:rPr>
          <w:rFonts w:ascii="Aptos" w:hAnsi="Aptos" w:cs="Aptos"/>
          <w:color w:val="auto"/>
        </w:rPr>
        <w:t xml:space="preserve">emissions fuels. </w:t>
      </w:r>
    </w:p>
    <w:p w14:paraId="36FA711D" w14:textId="4F80EAA1" w:rsidR="00C1047A" w:rsidRDefault="00587235" w:rsidP="6721223B">
      <w:r>
        <w:t xml:space="preserve">Allocating </w:t>
      </w:r>
      <w:r w:rsidR="00CE7BB8">
        <w:t>investments and i</w:t>
      </w:r>
      <w:r w:rsidR="2F8F8A15">
        <w:t xml:space="preserve">mplementing the technologies required to decarbonise may take time. </w:t>
      </w:r>
      <w:r w:rsidR="003F023A">
        <w:t>MYMP</w:t>
      </w:r>
      <w:r w:rsidR="003F023A" w:rsidRPr="000E396B">
        <w:t xml:space="preserve">s provide responsible emitters with </w:t>
      </w:r>
      <w:r w:rsidR="008A4720">
        <w:t>a period of multiple financial years</w:t>
      </w:r>
      <w:r w:rsidR="003F023A" w:rsidRPr="000E396B">
        <w:t xml:space="preserve"> to implement </w:t>
      </w:r>
      <w:r w:rsidR="00C21F44">
        <w:t>long</w:t>
      </w:r>
      <w:r w:rsidR="00E50195">
        <w:t>-</w:t>
      </w:r>
      <w:r w:rsidR="00C21F44">
        <w:t xml:space="preserve">term </w:t>
      </w:r>
      <w:r w:rsidR="003F023A" w:rsidRPr="000E396B">
        <w:t>emissions</w:t>
      </w:r>
      <w:r w:rsidR="003F023A" w:rsidRPr="000E396B" w:rsidDel="00162420">
        <w:t xml:space="preserve"> </w:t>
      </w:r>
      <w:r w:rsidR="003F023A">
        <w:t>reduction activities</w:t>
      </w:r>
      <w:r w:rsidR="003F023A" w:rsidRPr="000E396B">
        <w:t>.</w:t>
      </w:r>
      <w:r w:rsidR="003F023A">
        <w:t xml:space="preserve"> </w:t>
      </w:r>
    </w:p>
    <w:p w14:paraId="5A623FEA" w14:textId="6749BD98" w:rsidR="00E50195" w:rsidRPr="001E604F" w:rsidRDefault="008270D6" w:rsidP="6721223B">
      <w:r w:rsidRPr="00E36625">
        <w:t>To be eligible, the responsible emitter must</w:t>
      </w:r>
      <w:r w:rsidRPr="00631B31">
        <w:t xml:space="preserve"> demonstrate</w:t>
      </w:r>
      <w:r w:rsidRPr="00631B31" w:rsidDel="007606BE">
        <w:t xml:space="preserve"> that</w:t>
      </w:r>
      <w:r w:rsidRPr="00631B31">
        <w:t xml:space="preserve"> it will conduct activities to reduce the emissions-intensity</w:t>
      </w:r>
      <w:r w:rsidRPr="00E36625">
        <w:t xml:space="preserve"> o</w:t>
      </w:r>
      <w:r>
        <w:t>f the facility’s production variable(s)</w:t>
      </w:r>
      <w:r w:rsidR="00E50195">
        <w:t xml:space="preserve"> </w:t>
      </w:r>
      <w:r w:rsidR="00E4389C">
        <w:t xml:space="preserve">within </w:t>
      </w:r>
      <w:r w:rsidR="00E4389C" w:rsidDel="00B33EF0">
        <w:t>a</w:t>
      </w:r>
      <w:r w:rsidR="00E4389C">
        <w:t xml:space="preserve"> specified </w:t>
      </w:r>
      <w:r w:rsidR="00E72EDB">
        <w:t xml:space="preserve">multi-year </w:t>
      </w:r>
      <w:r w:rsidR="00E4389C">
        <w:t>period</w:t>
      </w:r>
      <w:r w:rsidR="00E72EDB">
        <w:t>.</w:t>
      </w:r>
      <w:r w:rsidR="00CD00B8" w:rsidDel="00B33EF0">
        <w:t xml:space="preserve"> </w:t>
      </w:r>
      <w:r w:rsidR="009867CA">
        <w:t xml:space="preserve">These activities must </w:t>
      </w:r>
      <w:r w:rsidR="000164D1">
        <w:t>lower</w:t>
      </w:r>
      <w:r w:rsidR="00377E7F">
        <w:t xml:space="preserve"> the </w:t>
      </w:r>
      <w:r w:rsidR="00167315">
        <w:t xml:space="preserve">facility’s total covered emissions </w:t>
      </w:r>
      <w:r w:rsidR="00167315" w:rsidDel="001C5CA2">
        <w:t>for</w:t>
      </w:r>
      <w:r w:rsidR="003975F9" w:rsidDel="001C5CA2">
        <w:t xml:space="preserve"> </w:t>
      </w:r>
      <w:r w:rsidR="00CD00B8" w:rsidDel="001C5CA2">
        <w:t>that</w:t>
      </w:r>
      <w:r w:rsidR="00167315" w:rsidDel="001C5CA2">
        <w:t xml:space="preserve"> period</w:t>
      </w:r>
      <w:r w:rsidDel="001C5CA2">
        <w:t xml:space="preserve"> </w:t>
      </w:r>
      <w:r w:rsidRPr="36E4076D">
        <w:rPr>
          <w:color w:val="000000"/>
          <w:shd w:val="clear" w:color="auto" w:fill="FFFFFF"/>
        </w:rPr>
        <w:t xml:space="preserve">below </w:t>
      </w:r>
      <w:r w:rsidR="009867CA">
        <w:rPr>
          <w:color w:val="000000"/>
          <w:shd w:val="clear" w:color="auto" w:fill="FFFFFF"/>
        </w:rPr>
        <w:t>its</w:t>
      </w:r>
      <w:r w:rsidRPr="36E4076D">
        <w:rPr>
          <w:color w:val="000000"/>
          <w:shd w:val="clear" w:color="auto" w:fill="FFFFFF"/>
        </w:rPr>
        <w:t xml:space="preserve"> </w:t>
      </w:r>
      <w:r w:rsidR="00E50195" w:rsidRPr="36E4076D">
        <w:rPr>
          <w:color w:val="000000"/>
          <w:shd w:val="clear" w:color="auto" w:fill="FFFFFF"/>
        </w:rPr>
        <w:t>total baseline</w:t>
      </w:r>
      <w:r w:rsidR="008E2680" w:rsidRPr="36E4076D">
        <w:rPr>
          <w:color w:val="000000"/>
          <w:shd w:val="clear" w:color="auto" w:fill="FFFFFF"/>
        </w:rPr>
        <w:t xml:space="preserve">. </w:t>
      </w:r>
    </w:p>
    <w:p w14:paraId="46847150" w14:textId="0F196BF0" w:rsidR="00C157E7" w:rsidRPr="001E604F" w:rsidRDefault="008E2680" w:rsidP="1398836A">
      <w:pPr>
        <w:rPr>
          <w:rFonts w:eastAsiaTheme="minorEastAsia" w:cstheme="minorBidi"/>
          <w:color w:val="auto"/>
        </w:rPr>
      </w:pPr>
      <w:r w:rsidRPr="1398836A">
        <w:rPr>
          <w:rFonts w:eastAsiaTheme="minorEastAsia" w:cstheme="minorBidi"/>
          <w:color w:val="auto"/>
        </w:rPr>
        <w:t xml:space="preserve">Despite early </w:t>
      </w:r>
      <w:r w:rsidR="005364BE" w:rsidRPr="1398836A">
        <w:rPr>
          <w:rFonts w:eastAsiaTheme="minorEastAsia" w:cstheme="minorBidi"/>
          <w:color w:val="auto"/>
        </w:rPr>
        <w:t xml:space="preserve">signs, </w:t>
      </w:r>
      <w:r w:rsidR="00C157E7" w:rsidRPr="1398836A">
        <w:rPr>
          <w:rFonts w:eastAsiaTheme="minorEastAsia" w:cstheme="minorBidi"/>
        </w:rPr>
        <w:t>significant</w:t>
      </w:r>
      <w:r w:rsidR="00C157E7" w:rsidRPr="1398836A">
        <w:rPr>
          <w:rFonts w:eastAsiaTheme="minorEastAsia" w:cstheme="minorBidi"/>
          <w:color w:val="auto"/>
        </w:rPr>
        <w:t xml:space="preserve"> decarbonisation initiatives are yet to be adopted at a large scale across </w:t>
      </w:r>
      <w:r w:rsidR="00640CE0" w:rsidRPr="1398836A">
        <w:rPr>
          <w:rFonts w:eastAsiaTheme="minorEastAsia" w:cstheme="minorBidi"/>
          <w:color w:val="auto"/>
        </w:rPr>
        <w:t xml:space="preserve">many </w:t>
      </w:r>
      <w:r w:rsidR="00C157E7" w:rsidRPr="1398836A">
        <w:rPr>
          <w:rFonts w:eastAsiaTheme="minorEastAsia" w:cstheme="minorBidi"/>
          <w:color w:val="auto"/>
        </w:rPr>
        <w:t xml:space="preserve">safeguard facilities. </w:t>
      </w:r>
      <w:r w:rsidR="00266F72">
        <w:rPr>
          <w:rFonts w:eastAsiaTheme="minorEastAsia" w:cstheme="minorBidi"/>
          <w:color w:val="auto"/>
        </w:rPr>
        <w:t>There remain significant challenges including the commercialisation and cost of new technologies.</w:t>
      </w:r>
      <w:r w:rsidR="00C157E7" w:rsidRPr="1398836A">
        <w:rPr>
          <w:rFonts w:eastAsiaTheme="minorEastAsia" w:cstheme="minorBidi"/>
          <w:color w:val="auto"/>
        </w:rPr>
        <w:t xml:space="preserve"> </w:t>
      </w:r>
      <w:r w:rsidR="00056709">
        <w:rPr>
          <w:rFonts w:eastAsiaTheme="minorEastAsia" w:cstheme="minorBidi"/>
          <w:color w:val="auto"/>
        </w:rPr>
        <w:t>F</w:t>
      </w:r>
      <w:r w:rsidR="00C157E7" w:rsidRPr="1398836A">
        <w:rPr>
          <w:rFonts w:eastAsiaTheme="minorEastAsia" w:cstheme="minorBidi"/>
          <w:color w:val="auto"/>
        </w:rPr>
        <w:t>urther innovation</w:t>
      </w:r>
      <w:r w:rsidR="00F6131A" w:rsidRPr="1398836A">
        <w:rPr>
          <w:rFonts w:eastAsiaTheme="minorEastAsia" w:cstheme="minorBidi"/>
          <w:color w:val="auto"/>
        </w:rPr>
        <w:t>, technology development</w:t>
      </w:r>
      <w:r w:rsidR="00C157E7" w:rsidRPr="1398836A">
        <w:rPr>
          <w:rFonts w:eastAsiaTheme="minorEastAsia" w:cstheme="minorBidi"/>
          <w:color w:val="auto"/>
        </w:rPr>
        <w:t xml:space="preserve"> and investment will be required. </w:t>
      </w:r>
      <w:r w:rsidR="00A32490">
        <w:rPr>
          <w:rFonts w:eastAsiaTheme="minorEastAsia" w:cstheme="minorBidi"/>
          <w:color w:val="auto"/>
        </w:rPr>
        <w:t>To keep pace</w:t>
      </w:r>
      <w:r w:rsidR="007D719A">
        <w:rPr>
          <w:rFonts w:eastAsiaTheme="minorEastAsia" w:cstheme="minorBidi"/>
          <w:color w:val="auto"/>
        </w:rPr>
        <w:t xml:space="preserve"> with declining baselines, responsible emitters must make </w:t>
      </w:r>
      <w:r w:rsidR="00C157E7" w:rsidRPr="1398836A">
        <w:rPr>
          <w:rFonts w:eastAsiaTheme="minorEastAsia" w:cstheme="minorBidi"/>
          <w:color w:val="auto"/>
        </w:rPr>
        <w:t>continued and sustained progre</w:t>
      </w:r>
      <w:r w:rsidR="007D719A">
        <w:rPr>
          <w:rFonts w:eastAsiaTheme="minorEastAsia" w:cstheme="minorBidi"/>
          <w:color w:val="auto"/>
        </w:rPr>
        <w:t xml:space="preserve">ss, </w:t>
      </w:r>
      <w:r w:rsidR="00525A5D">
        <w:rPr>
          <w:rFonts w:eastAsiaTheme="minorEastAsia" w:cstheme="minorBidi"/>
          <w:color w:val="auto"/>
        </w:rPr>
        <w:t xml:space="preserve">through </w:t>
      </w:r>
      <w:r w:rsidR="00C157E7" w:rsidRPr="1398836A">
        <w:rPr>
          <w:rFonts w:eastAsiaTheme="minorEastAsia" w:cstheme="minorBidi"/>
          <w:color w:val="auto"/>
        </w:rPr>
        <w:t>scal</w:t>
      </w:r>
      <w:r w:rsidR="00525A5D">
        <w:rPr>
          <w:rFonts w:eastAsiaTheme="minorEastAsia" w:cstheme="minorBidi"/>
          <w:color w:val="auto"/>
        </w:rPr>
        <w:t>ing</w:t>
      </w:r>
      <w:r w:rsidR="00C157E7" w:rsidRPr="1398836A">
        <w:rPr>
          <w:rFonts w:eastAsiaTheme="minorEastAsia" w:cstheme="minorBidi"/>
          <w:color w:val="auto"/>
        </w:rPr>
        <w:t xml:space="preserve"> up abatement efforts</w:t>
      </w:r>
      <w:r w:rsidR="00565618">
        <w:rPr>
          <w:rFonts w:eastAsiaTheme="minorEastAsia" w:cstheme="minorBidi"/>
          <w:color w:val="auto"/>
        </w:rPr>
        <w:t>.</w:t>
      </w:r>
    </w:p>
    <w:p w14:paraId="523A7CB8" w14:textId="0C690C7B" w:rsidR="00C1047A" w:rsidRDefault="00B5682F" w:rsidP="6721223B">
      <w:pPr>
        <w:rPr>
          <w:rFonts w:eastAsiaTheme="minorEastAsia" w:cstheme="minorBidi"/>
          <w:color w:val="auto"/>
        </w:rPr>
      </w:pPr>
      <w:r w:rsidRPr="43DB5E1D">
        <w:rPr>
          <w:rFonts w:eastAsiaTheme="minorEastAsia" w:cstheme="minorBidi"/>
          <w:color w:val="auto"/>
        </w:rPr>
        <w:t>It is important to recognise that the covered emissions reduction observed for 2024</w:t>
      </w:r>
      <w:r w:rsidR="00F36BE0">
        <w:rPr>
          <w:rFonts w:eastAsiaTheme="minorEastAsia" w:cstheme="minorBidi"/>
          <w:color w:val="auto"/>
        </w:rPr>
        <w:t>–</w:t>
      </w:r>
      <w:r w:rsidRPr="43DB5E1D">
        <w:rPr>
          <w:rFonts w:eastAsiaTheme="minorEastAsia" w:cstheme="minorBidi"/>
          <w:color w:val="auto"/>
        </w:rPr>
        <w:t xml:space="preserve">25 reflects a combination of onsite decarbonisation initiatives and the operational circumstances of facilities. </w:t>
      </w:r>
      <w:r w:rsidR="00933C57" w:rsidRPr="43DB5E1D">
        <w:rPr>
          <w:rFonts w:eastAsiaTheme="minorEastAsia" w:cstheme="minorBidi"/>
          <w:color w:val="auto"/>
        </w:rPr>
        <w:t>This includes</w:t>
      </w:r>
      <w:r w:rsidRPr="43DB5E1D">
        <w:rPr>
          <w:rFonts w:eastAsiaTheme="minorEastAsia" w:cstheme="minorBidi"/>
          <w:color w:val="auto"/>
        </w:rPr>
        <w:t xml:space="preserve"> facility openings and closures, shifts in economic conditions, world events</w:t>
      </w:r>
      <w:r w:rsidR="00907FB0">
        <w:rPr>
          <w:rFonts w:eastAsiaTheme="minorEastAsia" w:cstheme="minorBidi"/>
          <w:color w:val="auto"/>
        </w:rPr>
        <w:t>,</w:t>
      </w:r>
      <w:r w:rsidRPr="43DB5E1D">
        <w:rPr>
          <w:rFonts w:eastAsiaTheme="minorEastAsia" w:cstheme="minorBidi"/>
          <w:color w:val="auto"/>
        </w:rPr>
        <w:t xml:space="preserve"> and changes in product demand</w:t>
      </w:r>
      <w:r w:rsidR="00933C57" w:rsidRPr="43DB5E1D">
        <w:rPr>
          <w:rFonts w:eastAsiaTheme="minorEastAsia" w:cstheme="minorBidi"/>
          <w:color w:val="auto"/>
        </w:rPr>
        <w:t xml:space="preserve">. </w:t>
      </w:r>
    </w:p>
    <w:p w14:paraId="77B0F2E5" w14:textId="52B69BE0" w:rsidR="00C1047A" w:rsidRDefault="00933C57" w:rsidP="6721223B">
      <w:pPr>
        <w:rPr>
          <w:rFonts w:eastAsiaTheme="minorEastAsia" w:cstheme="minorBidi"/>
          <w:color w:val="auto"/>
        </w:rPr>
      </w:pPr>
      <w:r w:rsidRPr="43DB5E1D">
        <w:rPr>
          <w:rFonts w:eastAsiaTheme="minorEastAsia" w:cstheme="minorBidi"/>
          <w:color w:val="auto"/>
        </w:rPr>
        <w:t>These variables</w:t>
      </w:r>
      <w:r w:rsidR="00B5682F" w:rsidRPr="43DB5E1D">
        <w:rPr>
          <w:rFonts w:eastAsiaTheme="minorEastAsia" w:cstheme="minorBidi"/>
          <w:color w:val="auto"/>
        </w:rPr>
        <w:t xml:space="preserve"> can all impact production levels and abatement activity, with corresponding impacts on covered emissions. For example, some covered emissions during 2024</w:t>
      </w:r>
      <w:r w:rsidR="008006FF">
        <w:rPr>
          <w:rFonts w:eastAsiaTheme="minorEastAsia" w:cstheme="minorBidi"/>
          <w:color w:val="auto"/>
        </w:rPr>
        <w:t>–</w:t>
      </w:r>
      <w:r w:rsidR="00B5682F" w:rsidRPr="43DB5E1D">
        <w:rPr>
          <w:rFonts w:eastAsiaTheme="minorEastAsia" w:cstheme="minorBidi"/>
          <w:color w:val="auto"/>
        </w:rPr>
        <w:t xml:space="preserve">25 </w:t>
      </w:r>
      <w:r w:rsidR="00383420">
        <w:rPr>
          <w:rFonts w:eastAsiaTheme="minorEastAsia" w:cstheme="minorBidi"/>
          <w:color w:val="auto"/>
        </w:rPr>
        <w:t xml:space="preserve">could be </w:t>
      </w:r>
      <w:r w:rsidR="00B5682F" w:rsidRPr="43DB5E1D">
        <w:rPr>
          <w:rFonts w:eastAsiaTheme="minorEastAsia" w:cstheme="minorBidi"/>
          <w:color w:val="auto"/>
        </w:rPr>
        <w:t xml:space="preserve">lowered </w:t>
      </w:r>
      <w:r w:rsidR="00006FD0" w:rsidRPr="43DB5E1D">
        <w:rPr>
          <w:rFonts w:eastAsiaTheme="minorEastAsia" w:cstheme="minorBidi"/>
          <w:color w:val="auto"/>
        </w:rPr>
        <w:t xml:space="preserve">due to </w:t>
      </w:r>
      <w:r w:rsidR="007B0A77">
        <w:rPr>
          <w:rFonts w:eastAsiaTheme="minorEastAsia" w:cstheme="minorBidi"/>
          <w:color w:val="auto"/>
        </w:rPr>
        <w:t>factors such as</w:t>
      </w:r>
      <w:r w:rsidR="00006FD0" w:rsidRPr="43DB5E1D">
        <w:rPr>
          <w:rFonts w:eastAsiaTheme="minorEastAsia" w:cstheme="minorBidi"/>
          <w:color w:val="auto"/>
        </w:rPr>
        <w:t xml:space="preserve"> </w:t>
      </w:r>
      <w:r w:rsidR="00B5682F" w:rsidRPr="43DB5E1D">
        <w:rPr>
          <w:rFonts w:eastAsiaTheme="minorEastAsia" w:cstheme="minorBidi"/>
          <w:color w:val="auto"/>
        </w:rPr>
        <w:t xml:space="preserve">temporary industrial faults, safety closures, </w:t>
      </w:r>
      <w:r w:rsidR="00E05A64">
        <w:rPr>
          <w:rFonts w:eastAsiaTheme="minorEastAsia" w:cstheme="minorBidi"/>
          <w:color w:val="auto"/>
        </w:rPr>
        <w:t xml:space="preserve">and </w:t>
      </w:r>
      <w:r w:rsidR="005F14B6">
        <w:rPr>
          <w:rFonts w:eastAsiaTheme="minorEastAsia" w:cstheme="minorBidi"/>
          <w:color w:val="auto"/>
        </w:rPr>
        <w:t xml:space="preserve">price-driven </w:t>
      </w:r>
      <w:r w:rsidR="00B5682F" w:rsidRPr="43DB5E1D">
        <w:rPr>
          <w:rFonts w:eastAsiaTheme="minorEastAsia" w:cstheme="minorBidi"/>
          <w:color w:val="auto"/>
        </w:rPr>
        <w:t xml:space="preserve">production fluctuations. </w:t>
      </w:r>
    </w:p>
    <w:p w14:paraId="678B7CC3" w14:textId="36514FA4" w:rsidR="00B5682F" w:rsidRPr="008E25A5" w:rsidRDefault="00B5682F" w:rsidP="6721223B">
      <w:pPr>
        <w:rPr>
          <w:rFonts w:eastAsiaTheme="minorEastAsia" w:cstheme="minorBidi"/>
          <w:color w:val="auto"/>
        </w:rPr>
      </w:pPr>
      <w:r w:rsidRPr="43DB5E1D">
        <w:rPr>
          <w:rFonts w:eastAsiaTheme="minorEastAsia" w:cstheme="minorBidi"/>
          <w:color w:val="auto"/>
        </w:rPr>
        <w:t xml:space="preserve">Conversely, positive </w:t>
      </w:r>
      <w:r w:rsidR="003C2B6D">
        <w:rPr>
          <w:rFonts w:eastAsiaTheme="minorEastAsia" w:cstheme="minorBidi"/>
          <w:color w:val="auto"/>
        </w:rPr>
        <w:t xml:space="preserve">market </w:t>
      </w:r>
      <w:r w:rsidR="005E7484">
        <w:rPr>
          <w:rFonts w:eastAsiaTheme="minorEastAsia" w:cstheme="minorBidi"/>
          <w:color w:val="auto"/>
        </w:rPr>
        <w:t>conditions</w:t>
      </w:r>
      <w:r w:rsidRPr="43DB5E1D">
        <w:rPr>
          <w:rFonts w:eastAsiaTheme="minorEastAsia" w:cstheme="minorBidi"/>
          <w:color w:val="auto"/>
        </w:rPr>
        <w:t xml:space="preserve"> in the back end of 2024</w:t>
      </w:r>
      <w:r w:rsidR="008006FF">
        <w:rPr>
          <w:rFonts w:eastAsiaTheme="minorEastAsia" w:cstheme="minorBidi"/>
          <w:color w:val="auto"/>
        </w:rPr>
        <w:t>–</w:t>
      </w:r>
      <w:r w:rsidRPr="43DB5E1D">
        <w:rPr>
          <w:rFonts w:eastAsiaTheme="minorEastAsia" w:cstheme="minorBidi"/>
          <w:color w:val="auto"/>
        </w:rPr>
        <w:t xml:space="preserve">25 </w:t>
      </w:r>
      <w:r w:rsidR="00A23496">
        <w:rPr>
          <w:rFonts w:eastAsiaTheme="minorEastAsia" w:cstheme="minorBidi"/>
          <w:color w:val="auto"/>
        </w:rPr>
        <w:t xml:space="preserve">may have contributed to </w:t>
      </w:r>
      <w:r w:rsidR="006136D8">
        <w:rPr>
          <w:rFonts w:eastAsiaTheme="minorEastAsia" w:cstheme="minorBidi"/>
          <w:color w:val="auto"/>
        </w:rPr>
        <w:t>the observed</w:t>
      </w:r>
      <w:r w:rsidRPr="43DB5E1D">
        <w:rPr>
          <w:rFonts w:eastAsiaTheme="minorEastAsia" w:cstheme="minorBidi"/>
          <w:color w:val="auto"/>
        </w:rPr>
        <w:t xml:space="preserve"> increase in production</w:t>
      </w:r>
      <w:r w:rsidR="005E7484">
        <w:rPr>
          <w:rFonts w:eastAsiaTheme="minorEastAsia" w:cstheme="minorBidi"/>
          <w:color w:val="auto"/>
        </w:rPr>
        <w:t xml:space="preserve"> in some sectors</w:t>
      </w:r>
      <w:r w:rsidRPr="43DB5E1D">
        <w:rPr>
          <w:rFonts w:eastAsiaTheme="minorEastAsia" w:cstheme="minorBidi"/>
          <w:color w:val="auto"/>
        </w:rPr>
        <w:t>,</w:t>
      </w:r>
      <w:r w:rsidR="005E7484">
        <w:rPr>
          <w:rFonts w:eastAsiaTheme="minorEastAsia" w:cstheme="minorBidi"/>
          <w:color w:val="auto"/>
        </w:rPr>
        <w:t xml:space="preserve"> such as some metals mining</w:t>
      </w:r>
      <w:r w:rsidR="00A23496">
        <w:rPr>
          <w:rFonts w:eastAsiaTheme="minorEastAsia" w:cstheme="minorBidi"/>
          <w:color w:val="auto"/>
        </w:rPr>
        <w:t xml:space="preserve">. This </w:t>
      </w:r>
      <w:r w:rsidR="00B672F0">
        <w:rPr>
          <w:rFonts w:eastAsiaTheme="minorEastAsia" w:cstheme="minorBidi"/>
          <w:color w:val="auto"/>
        </w:rPr>
        <w:t>can</w:t>
      </w:r>
      <w:r w:rsidR="002534AC">
        <w:rPr>
          <w:rFonts w:eastAsiaTheme="minorEastAsia" w:cstheme="minorBidi"/>
          <w:color w:val="auto"/>
        </w:rPr>
        <w:t xml:space="preserve"> </w:t>
      </w:r>
      <w:r w:rsidR="006136D8">
        <w:rPr>
          <w:rFonts w:eastAsiaTheme="minorEastAsia" w:cstheme="minorBidi"/>
          <w:color w:val="auto"/>
        </w:rPr>
        <w:t>contribute to</w:t>
      </w:r>
      <w:r w:rsidR="002534AC">
        <w:rPr>
          <w:rFonts w:eastAsiaTheme="minorEastAsia" w:cstheme="minorBidi"/>
          <w:color w:val="auto"/>
        </w:rPr>
        <w:t xml:space="preserve"> </w:t>
      </w:r>
      <w:r w:rsidR="006136D8">
        <w:rPr>
          <w:rFonts w:eastAsiaTheme="minorEastAsia" w:cstheme="minorBidi"/>
          <w:color w:val="auto"/>
        </w:rPr>
        <w:t>the</w:t>
      </w:r>
      <w:r w:rsidR="002534AC">
        <w:rPr>
          <w:rFonts w:eastAsiaTheme="minorEastAsia" w:cstheme="minorBidi"/>
          <w:color w:val="auto"/>
        </w:rPr>
        <w:t xml:space="preserve"> higher </w:t>
      </w:r>
      <w:r w:rsidRPr="43DB5E1D">
        <w:rPr>
          <w:rFonts w:eastAsiaTheme="minorEastAsia" w:cstheme="minorBidi"/>
          <w:color w:val="auto"/>
        </w:rPr>
        <w:t xml:space="preserve">covered emissions. </w:t>
      </w:r>
    </w:p>
    <w:p w14:paraId="5EF4F6EA" w14:textId="38AA2C4B" w:rsidR="003C0D73" w:rsidRDefault="00355EF2" w:rsidP="6721223B">
      <w:pPr>
        <w:rPr>
          <w:rFonts w:eastAsiaTheme="minorEastAsia" w:cstheme="minorBidi"/>
          <w:color w:val="auto"/>
        </w:rPr>
      </w:pPr>
      <w:r w:rsidRPr="00185CF5">
        <w:rPr>
          <w:rFonts w:eastAsiaTheme="minorEastAsia" w:cstheme="minorBidi"/>
          <w:color w:val="auto"/>
        </w:rPr>
        <w:t>For 2024</w:t>
      </w:r>
      <w:r w:rsidR="00E00272" w:rsidRPr="00185CF5">
        <w:rPr>
          <w:rFonts w:eastAsiaTheme="minorEastAsia" w:cstheme="minorBidi"/>
          <w:color w:val="auto"/>
        </w:rPr>
        <w:t>–</w:t>
      </w:r>
      <w:r w:rsidRPr="00185CF5">
        <w:rPr>
          <w:rFonts w:eastAsiaTheme="minorEastAsia" w:cstheme="minorBidi"/>
          <w:color w:val="auto"/>
        </w:rPr>
        <w:t xml:space="preserve">25, the </w:t>
      </w:r>
      <w:r w:rsidR="00336AAF" w:rsidRPr="00185CF5">
        <w:rPr>
          <w:rFonts w:eastAsiaTheme="minorEastAsia" w:cstheme="minorBidi"/>
          <w:color w:val="auto"/>
        </w:rPr>
        <w:t xml:space="preserve">sectors of </w:t>
      </w:r>
      <w:r w:rsidR="007E1192" w:rsidRPr="00185CF5">
        <w:rPr>
          <w:rFonts w:eastAsiaTheme="minorEastAsia" w:cstheme="minorBidi"/>
          <w:color w:val="auto"/>
        </w:rPr>
        <w:t xml:space="preserve">with the largest proportions of </w:t>
      </w:r>
      <w:r w:rsidR="00336AAF" w:rsidRPr="00185CF5">
        <w:rPr>
          <w:rFonts w:eastAsiaTheme="minorEastAsia" w:cstheme="minorBidi"/>
          <w:color w:val="auto"/>
        </w:rPr>
        <w:t xml:space="preserve">covered </w:t>
      </w:r>
      <w:r w:rsidR="00931BB8" w:rsidRPr="00185CF5">
        <w:rPr>
          <w:rFonts w:eastAsiaTheme="minorEastAsia" w:cstheme="minorBidi"/>
          <w:color w:val="auto"/>
        </w:rPr>
        <w:t>emissions</w:t>
      </w:r>
      <w:r w:rsidR="00336AAF" w:rsidRPr="00185CF5">
        <w:rPr>
          <w:rFonts w:eastAsiaTheme="minorEastAsia" w:cstheme="minorBidi"/>
          <w:color w:val="auto"/>
        </w:rPr>
        <w:t xml:space="preserve"> </w:t>
      </w:r>
      <w:r w:rsidR="00931BB8" w:rsidRPr="00185CF5">
        <w:rPr>
          <w:rFonts w:eastAsiaTheme="minorEastAsia" w:cstheme="minorBidi"/>
          <w:color w:val="auto"/>
        </w:rPr>
        <w:t>remained consistent with previous years</w:t>
      </w:r>
      <w:r w:rsidR="004D0FD4" w:rsidRPr="00185CF5">
        <w:rPr>
          <w:rFonts w:eastAsiaTheme="minorEastAsia" w:cstheme="minorBidi"/>
          <w:color w:val="auto"/>
        </w:rPr>
        <w:t>. T</w:t>
      </w:r>
      <w:r w:rsidR="00931BB8" w:rsidRPr="00185CF5">
        <w:rPr>
          <w:rFonts w:eastAsiaTheme="minorEastAsia" w:cstheme="minorBidi"/>
          <w:color w:val="auto"/>
        </w:rPr>
        <w:t xml:space="preserve">he </w:t>
      </w:r>
      <w:r w:rsidR="00232AAD" w:rsidRPr="00185CF5">
        <w:rPr>
          <w:rFonts w:eastAsiaTheme="minorEastAsia" w:cstheme="minorBidi"/>
          <w:color w:val="auto"/>
        </w:rPr>
        <w:t xml:space="preserve">main emitters </w:t>
      </w:r>
      <w:r w:rsidR="004D0FD4" w:rsidRPr="00185CF5">
        <w:rPr>
          <w:rFonts w:eastAsiaTheme="minorEastAsia" w:cstheme="minorBidi"/>
          <w:color w:val="auto"/>
        </w:rPr>
        <w:t xml:space="preserve">were </w:t>
      </w:r>
      <w:r w:rsidR="00232AAD" w:rsidRPr="00185CF5">
        <w:rPr>
          <w:rFonts w:eastAsiaTheme="minorEastAsia" w:cstheme="minorBidi"/>
          <w:color w:val="auto"/>
        </w:rPr>
        <w:t xml:space="preserve">oil and gas, coal mining, </w:t>
      </w:r>
      <w:r w:rsidR="00C27216" w:rsidRPr="00185CF5">
        <w:rPr>
          <w:rFonts w:eastAsiaTheme="minorEastAsia" w:cstheme="minorBidi"/>
          <w:color w:val="auto"/>
        </w:rPr>
        <w:t>metal</w:t>
      </w:r>
      <w:r w:rsidR="00232AAD" w:rsidRPr="00185CF5">
        <w:rPr>
          <w:rFonts w:eastAsiaTheme="minorEastAsia" w:cstheme="minorBidi"/>
          <w:color w:val="auto"/>
        </w:rPr>
        <w:t xml:space="preserve"> manufacturing</w:t>
      </w:r>
      <w:r w:rsidR="001D420E">
        <w:rPr>
          <w:rFonts w:eastAsiaTheme="minorEastAsia" w:cstheme="minorBidi"/>
          <w:color w:val="auto"/>
        </w:rPr>
        <w:t>, other manuf</w:t>
      </w:r>
      <w:r w:rsidR="00BA1542">
        <w:rPr>
          <w:rFonts w:eastAsiaTheme="minorEastAsia" w:cstheme="minorBidi"/>
          <w:color w:val="auto"/>
        </w:rPr>
        <w:t>a</w:t>
      </w:r>
      <w:r w:rsidR="001D420E">
        <w:rPr>
          <w:rFonts w:eastAsiaTheme="minorEastAsia" w:cstheme="minorBidi"/>
          <w:color w:val="auto"/>
        </w:rPr>
        <w:t>cturing (including cement manufactur</w:t>
      </w:r>
      <w:r w:rsidR="00BA1542">
        <w:rPr>
          <w:rFonts w:eastAsiaTheme="minorEastAsia" w:cstheme="minorBidi"/>
          <w:color w:val="auto"/>
        </w:rPr>
        <w:t>e</w:t>
      </w:r>
      <w:r w:rsidR="001D420E">
        <w:rPr>
          <w:rFonts w:eastAsiaTheme="minorEastAsia" w:cstheme="minorBidi"/>
          <w:color w:val="auto"/>
        </w:rPr>
        <w:t>)</w:t>
      </w:r>
      <w:r w:rsidR="00232AAD" w:rsidRPr="00185CF5">
        <w:rPr>
          <w:rFonts w:eastAsiaTheme="minorEastAsia" w:cstheme="minorBidi"/>
          <w:color w:val="auto"/>
        </w:rPr>
        <w:t xml:space="preserve"> and metal </w:t>
      </w:r>
      <w:r w:rsidR="00C27216" w:rsidRPr="00185CF5">
        <w:rPr>
          <w:rFonts w:eastAsiaTheme="minorEastAsia" w:cstheme="minorBidi"/>
          <w:color w:val="auto"/>
        </w:rPr>
        <w:t>ore mining facilities</w:t>
      </w:r>
      <w:r w:rsidR="00D27F37" w:rsidRPr="00185CF5">
        <w:rPr>
          <w:rFonts w:eastAsiaTheme="minorEastAsia" w:cstheme="minorBidi"/>
          <w:color w:val="auto"/>
        </w:rPr>
        <w:t>.</w:t>
      </w:r>
      <w:r w:rsidR="00C27216" w:rsidRPr="43DB5E1D">
        <w:rPr>
          <w:rFonts w:eastAsiaTheme="minorEastAsia" w:cstheme="minorBidi"/>
          <w:color w:val="auto"/>
        </w:rPr>
        <w:t xml:space="preserve"> </w:t>
      </w:r>
    </w:p>
    <w:p w14:paraId="65285A3E" w14:textId="49680C70" w:rsidR="006805EB" w:rsidRDefault="00DC3B2E" w:rsidP="000961C1">
      <w:pPr>
        <w:pStyle w:val="CERbullets"/>
        <w:keepNext/>
        <w:numPr>
          <w:ilvl w:val="0"/>
          <w:numId w:val="0"/>
        </w:numPr>
        <w:rPr>
          <w:b/>
          <w:bCs/>
        </w:rPr>
      </w:pPr>
      <w:r>
        <w:rPr>
          <w:b/>
          <w:bCs/>
        </w:rPr>
        <w:t xml:space="preserve">Figure </w:t>
      </w:r>
      <w:r w:rsidRPr="00DC3B2E">
        <w:rPr>
          <w:b/>
        </w:rPr>
        <w:t>2</w:t>
      </w:r>
      <w:r w:rsidR="003C0D73">
        <w:rPr>
          <w:b/>
          <w:bCs/>
        </w:rPr>
        <w:t xml:space="preserve"> - </w:t>
      </w:r>
      <w:r w:rsidR="003C0D73" w:rsidRPr="008B2D4D">
        <w:rPr>
          <w:b/>
          <w:bCs/>
        </w:rPr>
        <w:t>Breakdown of covered emissions by sector</w:t>
      </w:r>
    </w:p>
    <w:p w14:paraId="00E2464E" w14:textId="65CD89EA" w:rsidR="003C0D73" w:rsidRDefault="00BE5268" w:rsidP="00400309">
      <w:pPr>
        <w:pStyle w:val="CERbullets"/>
        <w:keepNext/>
        <w:numPr>
          <w:ilvl w:val="0"/>
          <w:numId w:val="0"/>
        </w:numPr>
        <w:rPr>
          <w:b/>
          <w:bCs/>
        </w:rPr>
      </w:pPr>
      <w:r>
        <w:rPr>
          <w:noProof/>
        </w:rPr>
        <w:drawing>
          <wp:inline distT="0" distB="0" distL="0" distR="0" wp14:anchorId="1930C1C2" wp14:editId="64676293">
            <wp:extent cx="6184900" cy="2847975"/>
            <wp:effectExtent l="0" t="0" r="6350" b="9525"/>
            <wp:docPr id="1113561849" name="Chart 1" descr="Bar chart titled '2024–25 top ANZSIC codes of covered emissions'. It compares 2023–24 and 2024–25 covered emissions across six industry categories. Oil and gas extraction has the highest emissions at around 42 MtCO₂e for both years. Coal mining follows at about 32 MtCO₂e. Metal manufacturing is next at roughly 24 MtCO₂e, then other manufacturing at about 15 MtCO₂e. Metal ore mining and transport each show emissions near 10 MtCO₂e. Green bars represent 2023–24 and orange bars represent 2024–25.">
              <a:extLst xmlns:a="http://schemas.openxmlformats.org/drawingml/2006/main">
                <a:ext uri="{FF2B5EF4-FFF2-40B4-BE49-F238E27FC236}">
                  <a16:creationId xmlns:a16="http://schemas.microsoft.com/office/drawing/2014/main" id="{8886F9FE-5695-1E78-57FE-B1DD573868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5CF639E" w14:textId="3CB72191" w:rsidR="00223005" w:rsidRDefault="00223005" w:rsidP="006A1BEC">
      <w:pPr>
        <w:rPr>
          <w:rFonts w:ascii="Aptos" w:hAnsi="Aptos" w:cs="Aptos"/>
          <w:color w:val="auto"/>
        </w:rPr>
      </w:pPr>
      <w:r w:rsidRPr="7842064D">
        <w:rPr>
          <w:rFonts w:ascii="Aptos" w:hAnsi="Aptos" w:cs="Aptos"/>
          <w:color w:val="auto"/>
        </w:rPr>
        <w:t>For 2024</w:t>
      </w:r>
      <w:r w:rsidR="00E57E57">
        <w:rPr>
          <w:rFonts w:ascii="Aptos" w:hAnsi="Aptos" w:cs="Aptos"/>
          <w:color w:val="auto"/>
        </w:rPr>
        <w:t>–</w:t>
      </w:r>
      <w:r w:rsidRPr="7842064D">
        <w:rPr>
          <w:rFonts w:ascii="Aptos" w:hAnsi="Aptos" w:cs="Aptos"/>
          <w:color w:val="auto"/>
        </w:rPr>
        <w:t>25, the baseline decline has led to a preliminary 15.</w:t>
      </w:r>
      <w:r w:rsidR="00354D26" w:rsidRPr="7842064D">
        <w:rPr>
          <w:rFonts w:ascii="Aptos" w:hAnsi="Aptos" w:cs="Aptos"/>
          <w:color w:val="auto"/>
        </w:rPr>
        <w:t>7</w:t>
      </w:r>
      <w:r w:rsidRPr="7842064D">
        <w:rPr>
          <w:rFonts w:ascii="Aptos" w:hAnsi="Aptos" w:cs="Aptos"/>
          <w:color w:val="auto"/>
        </w:rPr>
        <w:t xml:space="preserve">% reduction in SMC eligibility, and a 48.9% increase in total exceedance across the scheme. </w:t>
      </w:r>
      <w:r w:rsidR="006375F7" w:rsidRPr="7842064D">
        <w:rPr>
          <w:rFonts w:ascii="Aptos" w:hAnsi="Aptos" w:cs="Aptos"/>
          <w:color w:val="auto"/>
        </w:rPr>
        <w:t xml:space="preserve">These figures highlight that </w:t>
      </w:r>
      <w:proofErr w:type="gramStart"/>
      <w:r w:rsidR="006375F7" w:rsidRPr="7842064D">
        <w:rPr>
          <w:rFonts w:ascii="Aptos" w:hAnsi="Aptos" w:cs="Aptos"/>
          <w:color w:val="auto"/>
        </w:rPr>
        <w:t>ACCUs</w:t>
      </w:r>
      <w:proofErr w:type="gramEnd"/>
      <w:r w:rsidR="006375F7" w:rsidRPr="7842064D">
        <w:rPr>
          <w:rFonts w:ascii="Aptos" w:hAnsi="Aptos" w:cs="Aptos"/>
          <w:color w:val="auto"/>
        </w:rPr>
        <w:t xml:space="preserve"> and SMCs will remain a vital part of compliance strategies. </w:t>
      </w:r>
      <w:r w:rsidRPr="7842064D">
        <w:rPr>
          <w:rFonts w:ascii="Aptos" w:hAnsi="Aptos" w:cs="Aptos"/>
          <w:color w:val="auto"/>
        </w:rPr>
        <w:t xml:space="preserve">Responsible emitters </w:t>
      </w:r>
      <w:r w:rsidR="00D21DD1">
        <w:rPr>
          <w:rFonts w:ascii="Aptos" w:hAnsi="Aptos" w:cs="Aptos"/>
          <w:color w:val="auto"/>
        </w:rPr>
        <w:t>in an e</w:t>
      </w:r>
      <w:r w:rsidR="00110316">
        <w:rPr>
          <w:rFonts w:ascii="Aptos" w:hAnsi="Aptos" w:cs="Aptos"/>
          <w:color w:val="auto"/>
        </w:rPr>
        <w:t xml:space="preserve">xcess position </w:t>
      </w:r>
      <w:r w:rsidRPr="7842064D">
        <w:rPr>
          <w:rFonts w:ascii="Aptos" w:hAnsi="Aptos" w:cs="Aptos"/>
          <w:color w:val="auto"/>
        </w:rPr>
        <w:t>now have until 31 March 2026 to manage that excess</w:t>
      </w:r>
      <w:r w:rsidR="00110316">
        <w:rPr>
          <w:rFonts w:ascii="Aptos" w:hAnsi="Aptos" w:cs="Aptos"/>
          <w:color w:val="auto"/>
        </w:rPr>
        <w:t xml:space="preserve"> through the surrender of SMCs and ACCUs or </w:t>
      </w:r>
      <w:proofErr w:type="gramStart"/>
      <w:r w:rsidR="00110316">
        <w:rPr>
          <w:rFonts w:ascii="Aptos" w:hAnsi="Aptos" w:cs="Aptos"/>
          <w:color w:val="auto"/>
        </w:rPr>
        <w:t>through the use of</w:t>
      </w:r>
      <w:proofErr w:type="gramEnd"/>
      <w:r w:rsidR="00110316">
        <w:rPr>
          <w:rFonts w:ascii="Aptos" w:hAnsi="Aptos" w:cs="Aptos"/>
          <w:color w:val="auto"/>
        </w:rPr>
        <w:t xml:space="preserve"> flexibility measures.</w:t>
      </w:r>
      <w:r w:rsidRPr="7842064D">
        <w:rPr>
          <w:rFonts w:ascii="Aptos" w:hAnsi="Aptos" w:cs="Aptos"/>
          <w:color w:val="auto"/>
        </w:rPr>
        <w:t xml:space="preserve"> </w:t>
      </w:r>
    </w:p>
    <w:p w14:paraId="6BA34459" w14:textId="003E2F26" w:rsidR="006A1BEC" w:rsidRDefault="006A1BEC" w:rsidP="006A1BEC">
      <w:pPr>
        <w:rPr>
          <w:rFonts w:ascii="Aptos" w:hAnsi="Aptos" w:cs="Aptos"/>
          <w:color w:val="auto"/>
        </w:rPr>
      </w:pPr>
      <w:r>
        <w:rPr>
          <w:rFonts w:ascii="Aptos" w:hAnsi="Aptos" w:cs="Aptos"/>
          <w:color w:val="auto"/>
        </w:rPr>
        <w:t xml:space="preserve">Some facilities’ baselines will be adjusted through a TEBA or borrowing </w:t>
      </w:r>
      <w:r w:rsidR="00110316">
        <w:rPr>
          <w:rFonts w:ascii="Aptos" w:hAnsi="Aptos" w:cs="Aptos"/>
          <w:color w:val="auto"/>
        </w:rPr>
        <w:t>a</w:t>
      </w:r>
      <w:r>
        <w:rPr>
          <w:rFonts w:ascii="Aptos" w:hAnsi="Aptos" w:cs="Aptos"/>
          <w:color w:val="auto"/>
        </w:rPr>
        <w:t xml:space="preserve">djustment. TEBAs assist facilities that have a trade-exposed production variable, where the cost of complying with the Safeguard Mechanism would exceed 3% of the facility’s revenue or earnings before interest and taxes (EBIT). </w:t>
      </w:r>
    </w:p>
    <w:p w14:paraId="71820523" w14:textId="77777777" w:rsidR="006A1BEC" w:rsidRDefault="006A1BEC" w:rsidP="006A1BEC">
      <w:pPr>
        <w:rPr>
          <w:rFonts w:ascii="Aptos" w:hAnsi="Aptos" w:cs="Aptos"/>
          <w:color w:val="auto"/>
        </w:rPr>
      </w:pPr>
      <w:r>
        <w:rPr>
          <w:rFonts w:ascii="Aptos" w:hAnsi="Aptos" w:cs="Aptos"/>
          <w:color w:val="auto"/>
        </w:rPr>
        <w:t>TEBA facilities receive a d</w:t>
      </w:r>
      <w:r w:rsidRPr="000C2A6C">
        <w:rPr>
          <w:rFonts w:ascii="Aptos" w:hAnsi="Aptos" w:cs="Aptos"/>
          <w:color w:val="auto"/>
        </w:rPr>
        <w:t>iscounted baseline decline rate for up to 3 years</w:t>
      </w:r>
      <w:r>
        <w:rPr>
          <w:rFonts w:ascii="Aptos" w:hAnsi="Aptos" w:cs="Aptos"/>
          <w:color w:val="auto"/>
        </w:rPr>
        <w:t xml:space="preserve"> (with a minimum decline rate of </w:t>
      </w:r>
      <w:r w:rsidRPr="00056198">
        <w:rPr>
          <w:rFonts w:ascii="Aptos" w:hAnsi="Aptos" w:cs="Aptos"/>
          <w:color w:val="auto"/>
        </w:rPr>
        <w:t xml:space="preserve">1% for manufacturing facilities </w:t>
      </w:r>
      <w:r>
        <w:rPr>
          <w:rFonts w:ascii="Aptos" w:hAnsi="Aptos" w:cs="Aptos"/>
          <w:color w:val="auto"/>
        </w:rPr>
        <w:t xml:space="preserve">and </w:t>
      </w:r>
      <w:r w:rsidRPr="00056198">
        <w:rPr>
          <w:rFonts w:ascii="Aptos" w:hAnsi="Aptos" w:cs="Aptos"/>
          <w:color w:val="auto"/>
        </w:rPr>
        <w:t>2% for non-manufacturing facilities</w:t>
      </w:r>
      <w:r>
        <w:rPr>
          <w:rFonts w:ascii="Aptos" w:hAnsi="Aptos" w:cs="Aptos"/>
          <w:color w:val="auto"/>
        </w:rPr>
        <w:t>)</w:t>
      </w:r>
      <w:r w:rsidRPr="00056198">
        <w:rPr>
          <w:rFonts w:ascii="Aptos" w:hAnsi="Aptos" w:cs="Aptos"/>
          <w:color w:val="auto"/>
        </w:rPr>
        <w:t>.</w:t>
      </w:r>
      <w:r>
        <w:rPr>
          <w:rFonts w:ascii="Aptos" w:hAnsi="Aptos" w:cs="Aptos"/>
          <w:color w:val="auto"/>
        </w:rPr>
        <w:t xml:space="preserve"> </w:t>
      </w:r>
    </w:p>
    <w:p w14:paraId="240C04D4" w14:textId="24E605B0" w:rsidR="006A1BEC" w:rsidRDefault="006A1BEC" w:rsidP="006A1BEC">
      <w:pPr>
        <w:rPr>
          <w:rFonts w:ascii="Aptos" w:hAnsi="Aptos" w:cs="Aptos"/>
          <w:color w:val="auto"/>
        </w:rPr>
      </w:pPr>
      <w:r>
        <w:rPr>
          <w:rFonts w:ascii="Aptos" w:hAnsi="Aptos" w:cs="Aptos"/>
          <w:color w:val="auto"/>
        </w:rPr>
        <w:t xml:space="preserve">The CER is currently assessing </w:t>
      </w:r>
      <w:r w:rsidRPr="004D1D1A">
        <w:rPr>
          <w:rFonts w:ascii="Aptos" w:hAnsi="Aptos" w:cs="Aptos"/>
          <w:color w:val="auto"/>
        </w:rPr>
        <w:t xml:space="preserve">7 </w:t>
      </w:r>
      <w:r>
        <w:rPr>
          <w:rFonts w:ascii="Aptos" w:hAnsi="Aptos" w:cs="Aptos"/>
          <w:color w:val="auto"/>
        </w:rPr>
        <w:t xml:space="preserve">TEBA applications, and 17 facilities have TEBAs in place from the previous year. </w:t>
      </w:r>
    </w:p>
    <w:p w14:paraId="7C220F41" w14:textId="77777777" w:rsidR="006A1BEC" w:rsidRDefault="006A1BEC" w:rsidP="006A1BEC">
      <w:pPr>
        <w:rPr>
          <w:rFonts w:ascii="Aptos" w:hAnsi="Aptos" w:cs="Aptos"/>
          <w:color w:val="auto"/>
        </w:rPr>
      </w:pPr>
      <w:r w:rsidRPr="023525C7">
        <w:rPr>
          <w:rFonts w:ascii="Aptos" w:hAnsi="Aptos" w:cs="Aptos"/>
          <w:color w:val="auto"/>
        </w:rPr>
        <w:t xml:space="preserve">A facility with a borrowing adjustment can borrow from its baseline for the following financial year to increase its baseline for the current year. The baseline for the following year is decreased by the borrowed amount plus interest. </w:t>
      </w:r>
    </w:p>
    <w:p w14:paraId="2519D8EA" w14:textId="78878554" w:rsidR="006A1BEC" w:rsidRPr="006A1BEC" w:rsidRDefault="006A1BEC" w:rsidP="00C623A8">
      <w:pPr>
        <w:rPr>
          <w:rFonts w:ascii="Aptos" w:hAnsi="Aptos" w:cs="Aptos"/>
          <w:color w:val="auto"/>
        </w:rPr>
      </w:pPr>
      <w:r w:rsidRPr="00B10568">
        <w:rPr>
          <w:rFonts w:ascii="Aptos" w:hAnsi="Aptos" w:cs="Aptos"/>
          <w:color w:val="auto"/>
        </w:rPr>
        <w:t>No new borrowing adjustment applications have been received to date, but applications remain open until 28 February</w:t>
      </w:r>
      <w:r w:rsidRPr="023525C7">
        <w:rPr>
          <w:rFonts w:ascii="Aptos" w:hAnsi="Aptos" w:cs="Aptos"/>
          <w:color w:val="auto"/>
        </w:rPr>
        <w:t xml:space="preserve"> 2026.</w:t>
      </w:r>
    </w:p>
    <w:p w14:paraId="319558C3" w14:textId="244599DA" w:rsidR="00C34F15" w:rsidRDefault="00B5682F" w:rsidP="00C623A8">
      <w:r w:rsidRPr="040A9D41">
        <w:rPr>
          <w:rFonts w:eastAsiaTheme="minorEastAsia" w:cstheme="minorBidi"/>
          <w:color w:val="auto"/>
        </w:rPr>
        <w:t>The reformed Safeguard Mechanism is still in its early stages. This document presents a point-in-time snapshot of</w:t>
      </w:r>
      <w:r w:rsidR="00FD3A82" w:rsidRPr="040A9D41">
        <w:rPr>
          <w:rFonts w:eastAsiaTheme="minorEastAsia" w:cstheme="minorBidi"/>
          <w:color w:val="auto"/>
        </w:rPr>
        <w:t xml:space="preserve"> the</w:t>
      </w:r>
      <w:r w:rsidR="00BB0BE7" w:rsidRPr="040A9D41">
        <w:rPr>
          <w:rFonts w:eastAsiaTheme="minorEastAsia" w:cstheme="minorBidi"/>
          <w:color w:val="auto"/>
        </w:rPr>
        <w:t xml:space="preserve"> scheme’s</w:t>
      </w:r>
      <w:r w:rsidR="00FD3A82" w:rsidRPr="040A9D41">
        <w:rPr>
          <w:rFonts w:eastAsiaTheme="minorEastAsia" w:cstheme="minorBidi"/>
          <w:color w:val="auto"/>
        </w:rPr>
        <w:t xml:space="preserve"> </w:t>
      </w:r>
      <w:r w:rsidR="00444D7B" w:rsidRPr="040A9D41">
        <w:rPr>
          <w:rFonts w:eastAsiaTheme="minorEastAsia" w:cstheme="minorBidi"/>
          <w:color w:val="auto"/>
        </w:rPr>
        <w:t>performance</w:t>
      </w:r>
      <w:r w:rsidRPr="040A9D41">
        <w:rPr>
          <w:rFonts w:eastAsiaTheme="minorEastAsia" w:cstheme="minorBidi"/>
          <w:color w:val="auto"/>
        </w:rPr>
        <w:t xml:space="preserve">. The large range of factors that impact </w:t>
      </w:r>
      <w:r w:rsidR="005B6810" w:rsidRPr="040A9D41">
        <w:rPr>
          <w:rFonts w:eastAsiaTheme="minorEastAsia" w:cstheme="minorBidi"/>
          <w:color w:val="auto"/>
        </w:rPr>
        <w:t>facilities</w:t>
      </w:r>
      <w:r w:rsidRPr="040A9D41">
        <w:rPr>
          <w:rFonts w:eastAsiaTheme="minorEastAsia" w:cstheme="minorBidi"/>
          <w:color w:val="auto"/>
        </w:rPr>
        <w:t xml:space="preserve"> covered emissions means a complete understanding of trends and </w:t>
      </w:r>
      <w:r w:rsidR="03C55C12" w:rsidRPr="040A9D41">
        <w:rPr>
          <w:rFonts w:eastAsiaTheme="minorEastAsia" w:cstheme="minorBidi"/>
          <w:color w:val="auto"/>
        </w:rPr>
        <w:t xml:space="preserve">the </w:t>
      </w:r>
      <w:r w:rsidRPr="040A9D41">
        <w:rPr>
          <w:rFonts w:eastAsiaTheme="minorEastAsia" w:cstheme="minorBidi"/>
          <w:color w:val="auto"/>
        </w:rPr>
        <w:t>overall effectiveness of the scheme will only emerge from longer-term retrospective analysis.</w:t>
      </w:r>
      <w:r w:rsidR="003C0D73" w:rsidRPr="446200BC">
        <w:rPr>
          <w:rFonts w:ascii="Aptos" w:hAnsi="Aptos" w:cs="Aptos"/>
          <w:color w:val="auto"/>
        </w:rPr>
        <w:t xml:space="preserve"> </w:t>
      </w:r>
      <w:r w:rsidR="00B04B98">
        <w:rPr>
          <w:rFonts w:ascii="Aptos" w:hAnsi="Aptos" w:cs="Aptos"/>
          <w:color w:val="auto"/>
        </w:rPr>
        <w:t xml:space="preserve">The </w:t>
      </w:r>
      <w:r w:rsidR="00B04B98" w:rsidRPr="00B04B98">
        <w:rPr>
          <w:rFonts w:ascii="Aptos" w:hAnsi="Aptos" w:cs="Aptos"/>
          <w:color w:val="auto"/>
        </w:rPr>
        <w:t>CCA</w:t>
      </w:r>
      <w:r w:rsidR="00B04B98">
        <w:rPr>
          <w:rFonts w:ascii="Aptos" w:hAnsi="Aptos" w:cs="Aptos"/>
          <w:color w:val="auto"/>
        </w:rPr>
        <w:t>’s</w:t>
      </w:r>
      <w:r w:rsidR="00B04B98" w:rsidRPr="00B04B98">
        <w:rPr>
          <w:rFonts w:ascii="Aptos" w:hAnsi="Aptos" w:cs="Aptos"/>
          <w:color w:val="auto"/>
        </w:rPr>
        <w:t xml:space="preserve"> </w:t>
      </w:r>
      <w:r w:rsidR="00E10792">
        <w:rPr>
          <w:rFonts w:ascii="Aptos" w:hAnsi="Aptos" w:cs="Aptos"/>
          <w:color w:val="auto"/>
        </w:rPr>
        <w:t xml:space="preserve">2025 </w:t>
      </w:r>
      <w:hyperlink r:id="rId16" w:history="1">
        <w:r w:rsidR="00851123">
          <w:rPr>
            <w:rStyle w:val="Hyperlink"/>
            <w:rFonts w:ascii="Aptos" w:hAnsi="Aptos" w:cs="Aptos"/>
          </w:rPr>
          <w:t>A</w:t>
        </w:r>
        <w:r w:rsidR="00104834" w:rsidRPr="00104834">
          <w:rPr>
            <w:rStyle w:val="Hyperlink"/>
            <w:rFonts w:ascii="Aptos" w:hAnsi="Aptos" w:cs="Aptos"/>
          </w:rPr>
          <w:t xml:space="preserve">nnual </w:t>
        </w:r>
        <w:r w:rsidR="00851123">
          <w:rPr>
            <w:rStyle w:val="Hyperlink"/>
            <w:rFonts w:ascii="Aptos" w:hAnsi="Aptos" w:cs="Aptos"/>
          </w:rPr>
          <w:t>P</w:t>
        </w:r>
        <w:r w:rsidR="00104834" w:rsidRPr="00104834">
          <w:rPr>
            <w:rStyle w:val="Hyperlink"/>
            <w:rFonts w:ascii="Aptos" w:hAnsi="Aptos" w:cs="Aptos"/>
          </w:rPr>
          <w:t xml:space="preserve">rogress </w:t>
        </w:r>
        <w:r w:rsidR="00851123">
          <w:rPr>
            <w:rStyle w:val="Hyperlink"/>
            <w:rFonts w:ascii="Aptos" w:hAnsi="Aptos" w:cs="Aptos"/>
          </w:rPr>
          <w:t>R</w:t>
        </w:r>
        <w:r w:rsidR="00104834" w:rsidRPr="00104834">
          <w:rPr>
            <w:rStyle w:val="Hyperlink"/>
            <w:rFonts w:ascii="Aptos" w:hAnsi="Aptos" w:cs="Aptos"/>
          </w:rPr>
          <w:t>e</w:t>
        </w:r>
        <w:r w:rsidR="00E10792" w:rsidRPr="00104834">
          <w:rPr>
            <w:rStyle w:val="Hyperlink"/>
            <w:rFonts w:ascii="Aptos" w:hAnsi="Aptos" w:cs="Aptos"/>
          </w:rPr>
          <w:t>port</w:t>
        </w:r>
      </w:hyperlink>
      <w:r w:rsidR="001A2BC8">
        <w:t xml:space="preserve"> </w:t>
      </w:r>
      <w:r w:rsidR="00E10792">
        <w:rPr>
          <w:rFonts w:ascii="Aptos" w:hAnsi="Aptos" w:cs="Aptos"/>
          <w:color w:val="auto"/>
        </w:rPr>
        <w:t>will provide further insights into Safeguard Mechanism trends.</w:t>
      </w:r>
      <w:r w:rsidR="00FF2435" w:rsidRPr="00FF2435">
        <w:rPr>
          <w:rStyle w:val="FootnoteReference"/>
        </w:rPr>
        <w:t xml:space="preserve"> </w:t>
      </w:r>
      <w:r w:rsidR="00FF2435">
        <w:rPr>
          <w:rStyle w:val="FootnoteReference"/>
        </w:rPr>
        <w:footnoteReference w:id="8"/>
      </w:r>
    </w:p>
    <w:p w14:paraId="75A3883E" w14:textId="00B8FB89" w:rsidR="00C34F15" w:rsidRPr="00824BF5" w:rsidRDefault="001D314B" w:rsidP="00C623A8">
      <w:r>
        <w:t xml:space="preserve">Following the compliance </w:t>
      </w:r>
      <w:r w:rsidR="00720C13">
        <w:t>dea</w:t>
      </w:r>
      <w:r w:rsidR="0088355B">
        <w:t>dline</w:t>
      </w:r>
      <w:r w:rsidR="007F68C9">
        <w:t xml:space="preserve"> on 31 March 2026</w:t>
      </w:r>
      <w:r>
        <w:t>, the f</w:t>
      </w:r>
      <w:r w:rsidR="00110316">
        <w:t xml:space="preserve">ull results for the Safeguard Mechanism </w:t>
      </w:r>
      <w:r w:rsidR="00892D9C" w:rsidRPr="43DB5E1D">
        <w:rPr>
          <w:rFonts w:eastAsiaTheme="minorEastAsia" w:cstheme="minorBidi"/>
          <w:color w:val="auto"/>
        </w:rPr>
        <w:t>2024</w:t>
      </w:r>
      <w:r w:rsidR="00892D9C">
        <w:rPr>
          <w:rFonts w:eastAsiaTheme="minorEastAsia" w:cstheme="minorBidi"/>
          <w:color w:val="auto"/>
        </w:rPr>
        <w:t>–</w:t>
      </w:r>
      <w:r w:rsidR="00892D9C" w:rsidRPr="43DB5E1D">
        <w:rPr>
          <w:rFonts w:eastAsiaTheme="minorEastAsia" w:cstheme="minorBidi"/>
          <w:color w:val="auto"/>
        </w:rPr>
        <w:t xml:space="preserve">25 </w:t>
      </w:r>
      <w:r w:rsidR="00110316">
        <w:t xml:space="preserve">reporting year will be published </w:t>
      </w:r>
      <w:r w:rsidR="0015762B">
        <w:t>by 15 April 2026</w:t>
      </w:r>
      <w:r w:rsidR="0010706B">
        <w:t>.</w:t>
      </w:r>
      <w:r w:rsidR="007F68C9">
        <w:t xml:space="preserve"> </w:t>
      </w:r>
    </w:p>
    <w:sectPr w:rsidR="00C34F15" w:rsidRPr="00824BF5" w:rsidSect="00E349EF">
      <w:headerReference w:type="default" r:id="rId17"/>
      <w:footerReference w:type="even" r:id="rId18"/>
      <w:footerReference w:type="default" r:id="rId19"/>
      <w:headerReference w:type="first" r:id="rId20"/>
      <w:footerReference w:type="first" r:id="rId21"/>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E2D72" w14:textId="77777777" w:rsidR="00F72099" w:rsidRDefault="00F72099" w:rsidP="00176C28">
      <w:r>
        <w:separator/>
      </w:r>
    </w:p>
    <w:p w14:paraId="7D92524A" w14:textId="77777777" w:rsidR="00F72099" w:rsidRDefault="00F72099"/>
  </w:endnote>
  <w:endnote w:type="continuationSeparator" w:id="0">
    <w:p w14:paraId="5361B242" w14:textId="77777777" w:rsidR="00F72099" w:rsidRDefault="00F72099" w:rsidP="00176C28">
      <w:r>
        <w:continuationSeparator/>
      </w:r>
    </w:p>
    <w:p w14:paraId="6600681D" w14:textId="77777777" w:rsidR="00F72099" w:rsidRDefault="00F72099"/>
  </w:endnote>
  <w:endnote w:type="continuationNotice" w:id="1">
    <w:p w14:paraId="7BD40488" w14:textId="77777777" w:rsidR="00F72099" w:rsidRDefault="00F7209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altName w:val="メイリオ"/>
    <w:charset w:val="80"/>
    <w:family w:val="swiss"/>
    <w:pitch w:val="variable"/>
    <w:sig w:usb0="E00002FF" w:usb1="6AC7FFFF" w:usb2="08000012" w:usb3="00000000" w:csb0="0002009F"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2F4D7E65" w14:textId="77777777" w:rsidR="009633DE" w:rsidRDefault="009633DE" w:rsidP="008B4A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F6B664" w14:textId="77777777" w:rsidR="00977234" w:rsidRDefault="00977234" w:rsidP="009633DE">
    <w:pPr>
      <w:pStyle w:val="Footer"/>
      <w:ind w:right="360"/>
      <w:rPr>
        <w:rStyle w:val="PageNumber"/>
      </w:rPr>
    </w:pPr>
  </w:p>
  <w:p w14:paraId="75C00207" w14:textId="77777777" w:rsidR="00977234" w:rsidRDefault="00977234" w:rsidP="009633DE">
    <w:pPr>
      <w:pStyle w:val="Footer"/>
    </w:pPr>
  </w:p>
  <w:p w14:paraId="621AAF5E"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6DD3" w14:textId="77777777" w:rsidR="00F76419" w:rsidRPr="009E2AAE"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lang w:val="es-ES"/>
      </w:rPr>
    </w:pPr>
    <w:r w:rsidRPr="009E2AAE">
      <w:rPr>
        <w:b/>
        <w:bCs/>
        <w:lang w:val="es-ES"/>
      </w:rPr>
      <w:t>W:</w:t>
    </w:r>
    <w:r w:rsidRPr="009E2AAE">
      <w:rPr>
        <w:lang w:val="es-ES"/>
      </w:rPr>
      <w:t xml:space="preserve"> </w:t>
    </w:r>
    <w:r w:rsidR="006E3CA9" w:rsidRPr="009E2AAE">
      <w:rPr>
        <w:lang w:val="es-ES"/>
      </w:rPr>
      <w:t>www.</w:t>
    </w:r>
    <w:r w:rsidR="00A5736E" w:rsidRPr="009E2AAE">
      <w:rPr>
        <w:lang w:val="es-ES"/>
      </w:rPr>
      <w:t>cer</w:t>
    </w:r>
    <w:r w:rsidR="006E3CA9" w:rsidRPr="009E2AAE">
      <w:rPr>
        <w:lang w:val="es-ES"/>
      </w:rPr>
      <w:t>.gov.au</w:t>
    </w:r>
    <w:r w:rsidR="006E3CA9" w:rsidRPr="009E2AAE">
      <w:rPr>
        <w:rStyle w:val="PageNumber"/>
        <w:lang w:val="es-ES"/>
      </w:rPr>
      <w:t xml:space="preserve"> </w:t>
    </w:r>
    <w:r w:rsidR="00223676" w:rsidRPr="009E2AAE">
      <w:rPr>
        <w:rStyle w:val="PageNumber"/>
        <w:lang w:val="es-ES"/>
      </w:rPr>
      <w:t xml:space="preserve">| </w:t>
    </w:r>
    <w:r w:rsidR="00223676" w:rsidRPr="009E2AAE">
      <w:rPr>
        <w:rStyle w:val="PageNumber"/>
        <w:b/>
        <w:bCs/>
        <w:lang w:val="es-ES"/>
      </w:rPr>
      <w:t>T:</w:t>
    </w:r>
    <w:r w:rsidR="00223676" w:rsidRPr="009E2AAE">
      <w:rPr>
        <w:rStyle w:val="PageNumber"/>
        <w:lang w:val="es-ES"/>
      </w:rPr>
      <w:t xml:space="preserve"> 1300 553 542</w:t>
    </w:r>
    <w:r w:rsidRPr="009E2AAE">
      <w:rPr>
        <w:rStyle w:val="PageNumber"/>
        <w:lang w:val="es-ES"/>
      </w:rPr>
      <w:t xml:space="preserve"> | </w:t>
    </w:r>
    <w:r w:rsidRPr="009E2AAE">
      <w:rPr>
        <w:rStyle w:val="PageNumber"/>
        <w:b/>
        <w:bCs/>
        <w:lang w:val="es-ES"/>
      </w:rPr>
      <w:t>E:</w:t>
    </w:r>
    <w:r w:rsidRPr="009E2AAE">
      <w:rPr>
        <w:rStyle w:val="PageNumber"/>
        <w:lang w:val="es-ES"/>
      </w:rPr>
      <w:t xml:space="preserve"> enquiries@</w:t>
    </w:r>
    <w:r w:rsidR="00A5736E" w:rsidRPr="009E2AAE">
      <w:rPr>
        <w:rStyle w:val="PageNumber"/>
        <w:lang w:val="es-ES"/>
      </w:rPr>
      <w:t>cer</w:t>
    </w:r>
    <w:r w:rsidRPr="009E2AAE">
      <w:rPr>
        <w:rStyle w:val="PageNumber"/>
        <w:lang w:val="es-ES"/>
      </w:rPr>
      <w:t>.gov.au</w:t>
    </w:r>
    <w:r w:rsidR="006E3CA9" w:rsidRPr="009E2AAE">
      <w:rPr>
        <w:rStyle w:val="PageNumber"/>
        <w:lang w:val="es-ES"/>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9E2AAE">
          <w:rPr>
            <w:rStyle w:val="PageNumber"/>
            <w:sz w:val="20"/>
            <w:szCs w:val="20"/>
            <w:lang w:val="es-ES"/>
          </w:rPr>
          <w:instrText xml:space="preserve"> PAGE </w:instrText>
        </w:r>
        <w:r w:rsidR="006E3CA9" w:rsidRPr="00E349EF">
          <w:rPr>
            <w:rStyle w:val="PageNumber"/>
            <w:sz w:val="20"/>
            <w:szCs w:val="20"/>
          </w:rPr>
          <w:fldChar w:fldCharType="separate"/>
        </w:r>
        <w:r w:rsidR="006E3CA9" w:rsidRPr="009E2AAE">
          <w:rPr>
            <w:rStyle w:val="PageNumber"/>
            <w:sz w:val="20"/>
            <w:szCs w:val="20"/>
            <w:lang w:val="es-ES"/>
          </w:rPr>
          <w:t>3</w:t>
        </w:r>
        <w:r w:rsidR="006E3CA9" w:rsidRPr="00E349EF">
          <w:rPr>
            <w:rStyle w:val="PageNumber"/>
            <w:sz w:val="20"/>
            <w:szCs w:val="20"/>
          </w:rPr>
          <w:fldChar w:fldCharType="end"/>
        </w:r>
      </w:sdtContent>
    </w:sdt>
  </w:p>
  <w:p w14:paraId="58A9FFF5" w14:textId="45A2519F" w:rsidR="00F76419" w:rsidRPr="009633DE" w:rsidRDefault="009956EA"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6C39"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6C6ED537" wp14:editId="0FC00A6C">
          <wp:extent cx="2131579" cy="648000"/>
          <wp:effectExtent l="0" t="0" r="0" b="0"/>
          <wp:docPr id="5" name="Picture 5" descr="The Clean Energy Regulator and Safeguard Mechanis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Clean Energy Regulator and Safeguard Mechanism logo"/>
                  <pic:cNvPicPr/>
                </pic:nvPicPr>
                <pic:blipFill>
                  <a:blip r:embed="rId1"/>
                  <a:stretch>
                    <a:fillRect/>
                  </a:stretch>
                </pic:blipFill>
                <pic:spPr>
                  <a:xfrm>
                    <a:off x="0" y="0"/>
                    <a:ext cx="2131579"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82CCA" w14:textId="77777777" w:rsidR="00F72099" w:rsidRDefault="00F72099" w:rsidP="00176C28">
      <w:r>
        <w:separator/>
      </w:r>
    </w:p>
    <w:p w14:paraId="735B1201" w14:textId="77777777" w:rsidR="00F72099" w:rsidRDefault="00F72099"/>
  </w:footnote>
  <w:footnote w:type="continuationSeparator" w:id="0">
    <w:p w14:paraId="1C282127" w14:textId="77777777" w:rsidR="00F72099" w:rsidRDefault="00F72099" w:rsidP="00176C28">
      <w:r>
        <w:continuationSeparator/>
      </w:r>
    </w:p>
    <w:p w14:paraId="4A8CA2A5" w14:textId="77777777" w:rsidR="00F72099" w:rsidRDefault="00F72099"/>
  </w:footnote>
  <w:footnote w:type="continuationNotice" w:id="1">
    <w:p w14:paraId="449A2F7C" w14:textId="77777777" w:rsidR="00F72099" w:rsidRDefault="00F72099">
      <w:pPr>
        <w:spacing w:after="0"/>
      </w:pPr>
    </w:p>
  </w:footnote>
  <w:footnote w:id="2">
    <w:p w14:paraId="4EA4CD1C" w14:textId="77777777" w:rsidR="00A90B26" w:rsidRDefault="00A90B26" w:rsidP="00A90B26">
      <w:pPr>
        <w:pStyle w:val="FootnoteText"/>
      </w:pPr>
      <w:r>
        <w:rPr>
          <w:rStyle w:val="FootnoteReference"/>
        </w:rPr>
        <w:footnoteRef/>
      </w:r>
      <w:r>
        <w:t xml:space="preserve"> </w:t>
      </w:r>
      <w:r w:rsidRPr="00456145">
        <w:t>https://cer.gov.au/schemes/safeguard-mechanism/managing-excess-emissions</w:t>
      </w:r>
    </w:p>
  </w:footnote>
  <w:footnote w:id="3">
    <w:p w14:paraId="235D847D" w14:textId="77777777" w:rsidR="00A3284A" w:rsidRDefault="00A3284A" w:rsidP="00A3284A">
      <w:pPr>
        <w:pStyle w:val="FootnoteText"/>
      </w:pPr>
      <w:r>
        <w:rPr>
          <w:rStyle w:val="FootnoteReference"/>
        </w:rPr>
        <w:footnoteRef/>
      </w:r>
      <w:r>
        <w:t xml:space="preserve"> </w:t>
      </w:r>
      <w:r w:rsidRPr="00F70945">
        <w:t>https://cer.gov.au/schemes/safeguard-mechanism</w:t>
      </w:r>
    </w:p>
  </w:footnote>
  <w:footnote w:id="4">
    <w:p w14:paraId="5226D114" w14:textId="40B4B613" w:rsidR="00983B8E" w:rsidRDefault="00983B8E">
      <w:pPr>
        <w:pStyle w:val="FootnoteText"/>
      </w:pPr>
      <w:r>
        <w:rPr>
          <w:rStyle w:val="FootnoteReference"/>
        </w:rPr>
        <w:footnoteRef/>
      </w:r>
      <w:r>
        <w:t xml:space="preserve"> </w:t>
      </w:r>
      <w:r w:rsidRPr="00983B8E">
        <w:t>https://cer.gov.au/schemes/national-greenhouse-and-energy-reporting-scheme</w:t>
      </w:r>
    </w:p>
  </w:footnote>
  <w:footnote w:id="5">
    <w:p w14:paraId="5F5F3AD8" w14:textId="77777777" w:rsidR="00BE153E" w:rsidRDefault="00BE153E" w:rsidP="00BE153E">
      <w:pPr>
        <w:pStyle w:val="FootnoteText"/>
      </w:pPr>
      <w:r>
        <w:rPr>
          <w:rStyle w:val="FootnoteReference"/>
        </w:rPr>
        <w:footnoteRef/>
      </w:r>
      <w:r>
        <w:t xml:space="preserve"> </w:t>
      </w:r>
      <w:r w:rsidRPr="00F70945">
        <w:t>https://www.climatechangeauthority.gov.au/annual-progress-report</w:t>
      </w:r>
    </w:p>
  </w:footnote>
  <w:footnote w:id="6">
    <w:p w14:paraId="60F40A1E" w14:textId="1FDD3919" w:rsidR="00EC12E3" w:rsidRDefault="00EC12E3">
      <w:pPr>
        <w:pStyle w:val="FootnoteText"/>
      </w:pPr>
      <w:r>
        <w:rPr>
          <w:rStyle w:val="FootnoteReference"/>
        </w:rPr>
        <w:footnoteRef/>
      </w:r>
      <w:r>
        <w:t xml:space="preserve"> </w:t>
      </w:r>
      <w:r w:rsidR="00204157">
        <w:t xml:space="preserve">This </w:t>
      </w:r>
      <w:r w:rsidR="003E06F8">
        <w:t xml:space="preserve">figure includes facilities </w:t>
      </w:r>
      <w:r w:rsidR="00773B94">
        <w:t xml:space="preserve">for which </w:t>
      </w:r>
      <w:r w:rsidR="001D1B39">
        <w:t xml:space="preserve">surrenders of prescribed carbon units have been made </w:t>
      </w:r>
      <w:r w:rsidR="00CA7866">
        <w:t xml:space="preserve">to reduce the net emissions number. </w:t>
      </w:r>
      <w:r w:rsidR="00E72E96">
        <w:t>Accounting for those</w:t>
      </w:r>
      <w:r w:rsidR="00674518">
        <w:t xml:space="preserve"> </w:t>
      </w:r>
      <w:r w:rsidR="00563870">
        <w:t xml:space="preserve">surrenders, the figure </w:t>
      </w:r>
      <w:r w:rsidR="00974968">
        <w:t>was</w:t>
      </w:r>
      <w:r w:rsidR="00563870">
        <w:t xml:space="preserve"> </w:t>
      </w:r>
      <w:r w:rsidR="00563870" w:rsidRPr="0038252A">
        <w:t>140</w:t>
      </w:r>
      <w:r w:rsidR="00974968">
        <w:t xml:space="preserve"> as at the time of preparation of this report</w:t>
      </w:r>
      <w:r w:rsidR="00563870" w:rsidRPr="0038252A">
        <w:t>.</w:t>
      </w:r>
    </w:p>
  </w:footnote>
  <w:footnote w:id="7">
    <w:p w14:paraId="52F500B0" w14:textId="6B411A32" w:rsidR="00E64901" w:rsidRDefault="00E64901">
      <w:pPr>
        <w:pStyle w:val="FootnoteText"/>
      </w:pPr>
      <w:r>
        <w:rPr>
          <w:rStyle w:val="FootnoteReference"/>
        </w:rPr>
        <w:footnoteRef/>
      </w:r>
      <w:r>
        <w:t xml:space="preserve"> Yearly data is subject to change due to resubmissions of NGER data.</w:t>
      </w:r>
    </w:p>
  </w:footnote>
  <w:footnote w:id="8">
    <w:p w14:paraId="0FC11CCA" w14:textId="77777777" w:rsidR="00FF2435" w:rsidRDefault="00FF2435" w:rsidP="00FF2435">
      <w:pPr>
        <w:pStyle w:val="FootnoteText"/>
      </w:pPr>
      <w:r>
        <w:rPr>
          <w:rStyle w:val="FootnoteReference"/>
        </w:rPr>
        <w:footnoteRef/>
      </w:r>
      <w:r>
        <w:t xml:space="preserve"> </w:t>
      </w:r>
      <w:r w:rsidRPr="00F70945">
        <w:t>https://www.climatechangeauthority.gov.au/annual-progress-report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33F8D" w14:textId="02170E95" w:rsidR="00D81782" w:rsidRDefault="009956EA" w:rsidP="00977234">
    <w:pPr>
      <w:pStyle w:val="Heading5"/>
      <w:tabs>
        <w:tab w:val="center" w:pos="4870"/>
        <w:tab w:val="left" w:pos="8745"/>
      </w:tabs>
      <w:spacing w:before="200" w:after="60"/>
      <w:jc w:val="center"/>
    </w:pPr>
    <w:r>
      <w:rPr>
        <w:rStyle w:val="Protectivemarker"/>
        <w:b/>
      </w:rPr>
      <w:t>OFFICIAL</w:t>
    </w:r>
  </w:p>
  <w:p w14:paraId="0899E5A2"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6BF56EBC" wp14:editId="41A607FA">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B8464" w14:textId="77777777" w:rsidR="00CA2954" w:rsidRDefault="008352D1" w:rsidP="00E349EF">
    <w:pPr>
      <w:pStyle w:val="Header"/>
      <w:spacing w:before="600"/>
    </w:pPr>
    <w:r>
      <w:rPr>
        <w:noProof/>
      </w:rPr>
      <w:t xml:space="preserve">  </w:t>
    </w:r>
    <w:r w:rsidR="00CA2954">
      <w:rPr>
        <w:noProof/>
      </w:rPr>
      <w:drawing>
        <wp:inline distT="0" distB="0" distL="0" distR="0" wp14:anchorId="198CD66B" wp14:editId="4B0A7D1E">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604D31"/>
    <w:multiLevelType w:val="multilevel"/>
    <w:tmpl w:val="420051A6"/>
    <w:lvl w:ilvl="0">
      <w:start w:val="1"/>
      <w:numFmt w:val="bullet"/>
      <w:lvlText w:val="»"/>
      <w:lvlJc w:val="left"/>
      <w:pPr>
        <w:ind w:left="717" w:hanging="360"/>
      </w:pPr>
      <w:rPr>
        <w:rFonts w:ascii="Arial" w:hAnsi="Arial" w:hint="default"/>
        <w:color w:val="006EA6"/>
      </w:rPr>
    </w:lvl>
    <w:lvl w:ilvl="1">
      <w:start w:val="1"/>
      <w:numFmt w:val="bullet"/>
      <w:lvlText w:val="»"/>
      <w:lvlJc w:val="left"/>
      <w:pPr>
        <w:ind w:left="1077" w:hanging="360"/>
      </w:pPr>
      <w:rPr>
        <w:rFonts w:ascii="Arial" w:hAnsi="Arial" w:hint="default"/>
        <w:color w:val="006C93" w:themeColor="accent3"/>
      </w:rPr>
    </w:lvl>
    <w:lvl w:ilvl="2">
      <w:start w:val="1"/>
      <w:numFmt w:val="bullet"/>
      <w:lvlText w:val="›"/>
      <w:lvlJc w:val="left"/>
      <w:pPr>
        <w:ind w:left="1437" w:hanging="360"/>
      </w:pPr>
      <w:rPr>
        <w:rFonts w:ascii="Arial" w:hAnsi="Arial" w:hint="default"/>
        <w:color w:val="006C93" w:themeColor="accent3"/>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4"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8564A97"/>
    <w:multiLevelType w:val="hybridMultilevel"/>
    <w:tmpl w:val="304ACF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CA75D1D"/>
    <w:multiLevelType w:val="hybridMultilevel"/>
    <w:tmpl w:val="CB982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62847FD"/>
    <w:multiLevelType w:val="hybridMultilevel"/>
    <w:tmpl w:val="FF10C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3DC4382E"/>
    <w:multiLevelType w:val="multilevel"/>
    <w:tmpl w:val="176A8460"/>
    <w:lvl w:ilvl="0">
      <w:start w:val="1"/>
      <w:numFmt w:val="bullet"/>
      <w:lvlText w:val="»"/>
      <w:lvlJc w:val="left"/>
      <w:pPr>
        <w:ind w:left="717" w:hanging="360"/>
      </w:pPr>
      <w:rPr>
        <w:rFonts w:ascii="Arial" w:hAnsi="Arial" w:hint="default"/>
        <w:color w:val="006EA6"/>
      </w:rPr>
    </w:lvl>
    <w:lvl w:ilvl="1">
      <w:start w:val="1"/>
      <w:numFmt w:val="bullet"/>
      <w:lvlText w:val="»"/>
      <w:lvlJc w:val="left"/>
      <w:pPr>
        <w:ind w:left="1077" w:hanging="360"/>
      </w:pPr>
      <w:rPr>
        <w:rFonts w:ascii="Arial" w:hAnsi="Arial" w:hint="default"/>
        <w:color w:val="006C93" w:themeColor="accent3"/>
      </w:rPr>
    </w:lvl>
    <w:lvl w:ilvl="2">
      <w:start w:val="1"/>
      <w:numFmt w:val="bullet"/>
      <w:lvlText w:val="›"/>
      <w:lvlJc w:val="left"/>
      <w:pPr>
        <w:ind w:left="1437" w:hanging="360"/>
      </w:pPr>
      <w:rPr>
        <w:rFonts w:ascii="Arial" w:hAnsi="Arial" w:hint="default"/>
        <w:color w:val="006C93" w:themeColor="accent3"/>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8" w15:restartNumberingAfterBreak="0">
    <w:nsid w:val="3ED3745D"/>
    <w:multiLevelType w:val="multilevel"/>
    <w:tmpl w:val="A9686552"/>
    <w:lvl w:ilvl="0">
      <w:start w:val="1"/>
      <w:numFmt w:val="bullet"/>
      <w:lvlText w:val="»"/>
      <w:lvlJc w:val="left"/>
      <w:pPr>
        <w:ind w:left="717" w:hanging="360"/>
      </w:pPr>
      <w:rPr>
        <w:rFonts w:ascii="Arial" w:hAnsi="Arial" w:hint="default"/>
        <w:color w:val="006EA6"/>
      </w:rPr>
    </w:lvl>
    <w:lvl w:ilvl="1">
      <w:start w:val="1"/>
      <w:numFmt w:val="bullet"/>
      <w:lvlText w:val="»"/>
      <w:lvlJc w:val="left"/>
      <w:pPr>
        <w:ind w:left="1077" w:hanging="360"/>
      </w:pPr>
      <w:rPr>
        <w:rFonts w:ascii="Arial" w:hAnsi="Arial" w:hint="default"/>
        <w:color w:val="006C93" w:themeColor="accent3"/>
      </w:rPr>
    </w:lvl>
    <w:lvl w:ilvl="2">
      <w:start w:val="1"/>
      <w:numFmt w:val="bullet"/>
      <w:lvlText w:val="›"/>
      <w:lvlJc w:val="left"/>
      <w:pPr>
        <w:ind w:left="1437" w:hanging="360"/>
      </w:pPr>
      <w:rPr>
        <w:rFonts w:ascii="Arial" w:hAnsi="Arial" w:hint="default"/>
        <w:color w:val="006C93" w:themeColor="accent3"/>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9"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5"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0B16ED"/>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B980507"/>
    <w:multiLevelType w:val="hybridMultilevel"/>
    <w:tmpl w:val="1C52F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0CC09DC"/>
    <w:multiLevelType w:val="hybridMultilevel"/>
    <w:tmpl w:val="C4488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98F327D"/>
    <w:multiLevelType w:val="hybridMultilevel"/>
    <w:tmpl w:val="58FC4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DB23C0"/>
    <w:multiLevelType w:val="multilevel"/>
    <w:tmpl w:val="11A43BFC"/>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92573627">
    <w:abstractNumId w:val="31"/>
  </w:num>
  <w:num w:numId="2" w16cid:durableId="665672845">
    <w:abstractNumId w:val="22"/>
  </w:num>
  <w:num w:numId="3" w16cid:durableId="810942482">
    <w:abstractNumId w:val="23"/>
  </w:num>
  <w:num w:numId="4" w16cid:durableId="825435444">
    <w:abstractNumId w:val="14"/>
  </w:num>
  <w:num w:numId="5" w16cid:durableId="370108035">
    <w:abstractNumId w:val="15"/>
  </w:num>
  <w:num w:numId="6" w16cid:durableId="1687902628">
    <w:abstractNumId w:val="26"/>
  </w:num>
  <w:num w:numId="7" w16cid:durableId="801192260">
    <w:abstractNumId w:val="34"/>
  </w:num>
  <w:num w:numId="8" w16cid:durableId="874005031">
    <w:abstractNumId w:val="15"/>
  </w:num>
  <w:num w:numId="9" w16cid:durableId="1080835062">
    <w:abstractNumId w:val="9"/>
  </w:num>
  <w:num w:numId="10" w16cid:durableId="2008317377">
    <w:abstractNumId w:val="7"/>
  </w:num>
  <w:num w:numId="11" w16cid:durableId="929001487">
    <w:abstractNumId w:val="6"/>
  </w:num>
  <w:num w:numId="12" w16cid:durableId="798836690">
    <w:abstractNumId w:val="5"/>
  </w:num>
  <w:num w:numId="13" w16cid:durableId="1189414269">
    <w:abstractNumId w:val="4"/>
  </w:num>
  <w:num w:numId="14" w16cid:durableId="1930310773">
    <w:abstractNumId w:val="8"/>
  </w:num>
  <w:num w:numId="15" w16cid:durableId="967979341">
    <w:abstractNumId w:val="3"/>
  </w:num>
  <w:num w:numId="16" w16cid:durableId="1635066427">
    <w:abstractNumId w:val="2"/>
  </w:num>
  <w:num w:numId="17" w16cid:durableId="38213946">
    <w:abstractNumId w:val="1"/>
  </w:num>
  <w:num w:numId="18" w16cid:durableId="131679649">
    <w:abstractNumId w:val="0"/>
  </w:num>
  <w:num w:numId="19" w16cid:durableId="1364551405">
    <w:abstractNumId w:val="12"/>
  </w:num>
  <w:num w:numId="20" w16cid:durableId="1432892358">
    <w:abstractNumId w:val="19"/>
  </w:num>
  <w:num w:numId="21" w16cid:durableId="464278856">
    <w:abstractNumId w:val="42"/>
  </w:num>
  <w:num w:numId="22" w16cid:durableId="980620812">
    <w:abstractNumId w:val="10"/>
  </w:num>
  <w:num w:numId="23" w16cid:durableId="1243297401">
    <w:abstractNumId w:val="43"/>
  </w:num>
  <w:num w:numId="24" w16cid:durableId="1338921051">
    <w:abstractNumId w:val="29"/>
  </w:num>
  <w:num w:numId="25" w16cid:durableId="141119801">
    <w:abstractNumId w:val="24"/>
  </w:num>
  <w:num w:numId="26" w16cid:durableId="308367669">
    <w:abstractNumId w:val="21"/>
  </w:num>
  <w:num w:numId="27" w16cid:durableId="1562596590">
    <w:abstractNumId w:val="38"/>
  </w:num>
  <w:num w:numId="28" w16cid:durableId="1016076843">
    <w:abstractNumId w:val="33"/>
  </w:num>
  <w:num w:numId="29" w16cid:durableId="1331980975">
    <w:abstractNumId w:val="30"/>
  </w:num>
  <w:num w:numId="30" w16cid:durableId="885335266">
    <w:abstractNumId w:val="35"/>
  </w:num>
  <w:num w:numId="31" w16cid:durableId="569388246">
    <w:abstractNumId w:val="37"/>
  </w:num>
  <w:num w:numId="32" w16cid:durableId="1743405233">
    <w:abstractNumId w:val="11"/>
  </w:num>
  <w:num w:numId="33" w16cid:durableId="1559509107">
    <w:abstractNumId w:val="36"/>
  </w:num>
  <w:num w:numId="34" w16cid:durableId="1197505460">
    <w:abstractNumId w:val="16"/>
  </w:num>
  <w:num w:numId="35" w16cid:durableId="1824008234">
    <w:abstractNumId w:val="32"/>
  </w:num>
  <w:num w:numId="36" w16cid:durableId="201132837">
    <w:abstractNumId w:val="18"/>
  </w:num>
  <w:num w:numId="37" w16cid:durableId="84189127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32442973">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13008442">
    <w:abstractNumId w:val="41"/>
  </w:num>
  <w:num w:numId="40" w16cid:durableId="665286988">
    <w:abstractNumId w:val="17"/>
  </w:num>
  <w:num w:numId="41" w16cid:durableId="1909876744">
    <w:abstractNumId w:val="28"/>
  </w:num>
  <w:num w:numId="42" w16cid:durableId="292835173">
    <w:abstractNumId w:val="13"/>
  </w:num>
  <w:num w:numId="43" w16cid:durableId="1845050465">
    <w:abstractNumId w:val="27"/>
  </w:num>
  <w:num w:numId="44" w16cid:durableId="1034034657">
    <w:abstractNumId w:val="39"/>
  </w:num>
  <w:num w:numId="45" w16cid:durableId="1578323206">
    <w:abstractNumId w:val="20"/>
  </w:num>
  <w:num w:numId="46" w16cid:durableId="1756824051">
    <w:abstractNumId w:val="40"/>
  </w:num>
  <w:num w:numId="47" w16cid:durableId="1504316591">
    <w:abstractNumId w:val="25"/>
  </w:num>
  <w:num w:numId="48" w16cid:durableId="800152090">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12229653">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22622563">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formatting="1" w:enforcement="1" w:spinCount="100000" w:hashValue="QQ5Ab7G+QYYSgAiSl5GmZDUFQ4Sy4n34eESgrY3cNvA=" w:saltValue="S8Ew2CMn5kO8nZeyw9n46w=="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C66"/>
    <w:rsid w:val="00001A8F"/>
    <w:rsid w:val="00001B24"/>
    <w:rsid w:val="00001ECE"/>
    <w:rsid w:val="00002B41"/>
    <w:rsid w:val="0000367E"/>
    <w:rsid w:val="00003894"/>
    <w:rsid w:val="000039B0"/>
    <w:rsid w:val="00003E01"/>
    <w:rsid w:val="00004837"/>
    <w:rsid w:val="00004865"/>
    <w:rsid w:val="000048CD"/>
    <w:rsid w:val="00004CE6"/>
    <w:rsid w:val="000052BB"/>
    <w:rsid w:val="000052E7"/>
    <w:rsid w:val="000060CE"/>
    <w:rsid w:val="000066D3"/>
    <w:rsid w:val="0000670F"/>
    <w:rsid w:val="0000681D"/>
    <w:rsid w:val="00006F0B"/>
    <w:rsid w:val="00006FD0"/>
    <w:rsid w:val="000070FA"/>
    <w:rsid w:val="00007609"/>
    <w:rsid w:val="00007728"/>
    <w:rsid w:val="00007905"/>
    <w:rsid w:val="00007D09"/>
    <w:rsid w:val="00010390"/>
    <w:rsid w:val="0001052B"/>
    <w:rsid w:val="00010922"/>
    <w:rsid w:val="0001104C"/>
    <w:rsid w:val="00011257"/>
    <w:rsid w:val="00011B0B"/>
    <w:rsid w:val="00012190"/>
    <w:rsid w:val="000122AE"/>
    <w:rsid w:val="000129A8"/>
    <w:rsid w:val="000129D2"/>
    <w:rsid w:val="000132EE"/>
    <w:rsid w:val="0001353C"/>
    <w:rsid w:val="000139BF"/>
    <w:rsid w:val="00013A5D"/>
    <w:rsid w:val="00013FF6"/>
    <w:rsid w:val="000142E1"/>
    <w:rsid w:val="00014884"/>
    <w:rsid w:val="00014FED"/>
    <w:rsid w:val="000157F7"/>
    <w:rsid w:val="00015F7B"/>
    <w:rsid w:val="0001636A"/>
    <w:rsid w:val="000164D1"/>
    <w:rsid w:val="00016A81"/>
    <w:rsid w:val="0001700A"/>
    <w:rsid w:val="00017480"/>
    <w:rsid w:val="00017B36"/>
    <w:rsid w:val="00017B68"/>
    <w:rsid w:val="000202AC"/>
    <w:rsid w:val="00021094"/>
    <w:rsid w:val="000215D5"/>
    <w:rsid w:val="000216BA"/>
    <w:rsid w:val="0002186C"/>
    <w:rsid w:val="000218D2"/>
    <w:rsid w:val="00021E4A"/>
    <w:rsid w:val="000229A7"/>
    <w:rsid w:val="00022ACB"/>
    <w:rsid w:val="00023104"/>
    <w:rsid w:val="00023CA0"/>
    <w:rsid w:val="00023F6C"/>
    <w:rsid w:val="00024435"/>
    <w:rsid w:val="00024520"/>
    <w:rsid w:val="0002484A"/>
    <w:rsid w:val="00025117"/>
    <w:rsid w:val="0002573E"/>
    <w:rsid w:val="00025AF5"/>
    <w:rsid w:val="00025C66"/>
    <w:rsid w:val="000273A1"/>
    <w:rsid w:val="00027828"/>
    <w:rsid w:val="00030D2A"/>
    <w:rsid w:val="00031074"/>
    <w:rsid w:val="00031090"/>
    <w:rsid w:val="00031AFA"/>
    <w:rsid w:val="000322D2"/>
    <w:rsid w:val="000325A2"/>
    <w:rsid w:val="000328CF"/>
    <w:rsid w:val="000328DF"/>
    <w:rsid w:val="00032A01"/>
    <w:rsid w:val="000330C0"/>
    <w:rsid w:val="000338A6"/>
    <w:rsid w:val="00033C1F"/>
    <w:rsid w:val="00033CD6"/>
    <w:rsid w:val="00033DB3"/>
    <w:rsid w:val="00034491"/>
    <w:rsid w:val="000349CB"/>
    <w:rsid w:val="00034EA2"/>
    <w:rsid w:val="00035125"/>
    <w:rsid w:val="00035321"/>
    <w:rsid w:val="000357F5"/>
    <w:rsid w:val="0003582F"/>
    <w:rsid w:val="00035ED0"/>
    <w:rsid w:val="0003622D"/>
    <w:rsid w:val="000362B0"/>
    <w:rsid w:val="00036422"/>
    <w:rsid w:val="00036857"/>
    <w:rsid w:val="00036FDE"/>
    <w:rsid w:val="0003709C"/>
    <w:rsid w:val="000374B1"/>
    <w:rsid w:val="000376F2"/>
    <w:rsid w:val="000378B6"/>
    <w:rsid w:val="000379EC"/>
    <w:rsid w:val="000400F4"/>
    <w:rsid w:val="0004062E"/>
    <w:rsid w:val="00040955"/>
    <w:rsid w:val="00040B62"/>
    <w:rsid w:val="00040C32"/>
    <w:rsid w:val="00040CD9"/>
    <w:rsid w:val="00041089"/>
    <w:rsid w:val="0004115F"/>
    <w:rsid w:val="000413D1"/>
    <w:rsid w:val="0004150F"/>
    <w:rsid w:val="00041978"/>
    <w:rsid w:val="00041B33"/>
    <w:rsid w:val="00042227"/>
    <w:rsid w:val="00044028"/>
    <w:rsid w:val="000440B8"/>
    <w:rsid w:val="000442F7"/>
    <w:rsid w:val="0004433A"/>
    <w:rsid w:val="00044608"/>
    <w:rsid w:val="000446EF"/>
    <w:rsid w:val="000448E7"/>
    <w:rsid w:val="00044DDF"/>
    <w:rsid w:val="00045A02"/>
    <w:rsid w:val="00045A42"/>
    <w:rsid w:val="000460F6"/>
    <w:rsid w:val="000463E7"/>
    <w:rsid w:val="00046590"/>
    <w:rsid w:val="000467E9"/>
    <w:rsid w:val="00046915"/>
    <w:rsid w:val="0004704E"/>
    <w:rsid w:val="000500F1"/>
    <w:rsid w:val="000503FA"/>
    <w:rsid w:val="00050456"/>
    <w:rsid w:val="000504A7"/>
    <w:rsid w:val="0005062F"/>
    <w:rsid w:val="00050F25"/>
    <w:rsid w:val="00050F3F"/>
    <w:rsid w:val="00051269"/>
    <w:rsid w:val="00051A40"/>
    <w:rsid w:val="00051C65"/>
    <w:rsid w:val="000523EE"/>
    <w:rsid w:val="000527FA"/>
    <w:rsid w:val="00052BD9"/>
    <w:rsid w:val="00052FA6"/>
    <w:rsid w:val="000530A2"/>
    <w:rsid w:val="000533D6"/>
    <w:rsid w:val="00053408"/>
    <w:rsid w:val="0005368A"/>
    <w:rsid w:val="00053819"/>
    <w:rsid w:val="0005381B"/>
    <w:rsid w:val="00053D5F"/>
    <w:rsid w:val="00053D8A"/>
    <w:rsid w:val="00053FB4"/>
    <w:rsid w:val="0005450A"/>
    <w:rsid w:val="000548D3"/>
    <w:rsid w:val="000553E5"/>
    <w:rsid w:val="00055779"/>
    <w:rsid w:val="00055874"/>
    <w:rsid w:val="0005608E"/>
    <w:rsid w:val="00056198"/>
    <w:rsid w:val="0005630C"/>
    <w:rsid w:val="00056709"/>
    <w:rsid w:val="00056C01"/>
    <w:rsid w:val="00056C5E"/>
    <w:rsid w:val="00056FF0"/>
    <w:rsid w:val="00057391"/>
    <w:rsid w:val="00057660"/>
    <w:rsid w:val="00057F7D"/>
    <w:rsid w:val="000600BA"/>
    <w:rsid w:val="000602E2"/>
    <w:rsid w:val="00060A58"/>
    <w:rsid w:val="00060D39"/>
    <w:rsid w:val="00060E96"/>
    <w:rsid w:val="00060F13"/>
    <w:rsid w:val="0006152E"/>
    <w:rsid w:val="00061E59"/>
    <w:rsid w:val="00061E94"/>
    <w:rsid w:val="000621E2"/>
    <w:rsid w:val="00062703"/>
    <w:rsid w:val="00062B62"/>
    <w:rsid w:val="00062F91"/>
    <w:rsid w:val="00063145"/>
    <w:rsid w:val="00063A65"/>
    <w:rsid w:val="00063BC7"/>
    <w:rsid w:val="00063C52"/>
    <w:rsid w:val="00063EC8"/>
    <w:rsid w:val="00064237"/>
    <w:rsid w:val="000642AB"/>
    <w:rsid w:val="0006454B"/>
    <w:rsid w:val="00064DAC"/>
    <w:rsid w:val="00064EE0"/>
    <w:rsid w:val="00065296"/>
    <w:rsid w:val="000654DD"/>
    <w:rsid w:val="0006554D"/>
    <w:rsid w:val="000655B2"/>
    <w:rsid w:val="000657BA"/>
    <w:rsid w:val="000659BD"/>
    <w:rsid w:val="00065D9A"/>
    <w:rsid w:val="000669D3"/>
    <w:rsid w:val="00066A7F"/>
    <w:rsid w:val="00066A96"/>
    <w:rsid w:val="00066C01"/>
    <w:rsid w:val="0006721F"/>
    <w:rsid w:val="0006741C"/>
    <w:rsid w:val="00067440"/>
    <w:rsid w:val="000678AA"/>
    <w:rsid w:val="00067961"/>
    <w:rsid w:val="000679D5"/>
    <w:rsid w:val="00067A23"/>
    <w:rsid w:val="00067A64"/>
    <w:rsid w:val="00067BA9"/>
    <w:rsid w:val="00070167"/>
    <w:rsid w:val="0007017C"/>
    <w:rsid w:val="00070204"/>
    <w:rsid w:val="00070ECD"/>
    <w:rsid w:val="0007107A"/>
    <w:rsid w:val="000710ED"/>
    <w:rsid w:val="000715C5"/>
    <w:rsid w:val="00071707"/>
    <w:rsid w:val="0007215E"/>
    <w:rsid w:val="00072845"/>
    <w:rsid w:val="000729F3"/>
    <w:rsid w:val="00072A93"/>
    <w:rsid w:val="00072F34"/>
    <w:rsid w:val="000735BC"/>
    <w:rsid w:val="0007380B"/>
    <w:rsid w:val="00073A39"/>
    <w:rsid w:val="00073C49"/>
    <w:rsid w:val="00073C66"/>
    <w:rsid w:val="00073F29"/>
    <w:rsid w:val="00073FCD"/>
    <w:rsid w:val="0007457F"/>
    <w:rsid w:val="0007465B"/>
    <w:rsid w:val="0007495C"/>
    <w:rsid w:val="000756E3"/>
    <w:rsid w:val="0007620D"/>
    <w:rsid w:val="00076EEE"/>
    <w:rsid w:val="00076F85"/>
    <w:rsid w:val="00077756"/>
    <w:rsid w:val="00077798"/>
    <w:rsid w:val="00077A31"/>
    <w:rsid w:val="00077E42"/>
    <w:rsid w:val="000805E6"/>
    <w:rsid w:val="0008127D"/>
    <w:rsid w:val="00081295"/>
    <w:rsid w:val="0008144C"/>
    <w:rsid w:val="000819C9"/>
    <w:rsid w:val="00081AF7"/>
    <w:rsid w:val="00081B80"/>
    <w:rsid w:val="00081EAD"/>
    <w:rsid w:val="00082371"/>
    <w:rsid w:val="000824F9"/>
    <w:rsid w:val="0008277E"/>
    <w:rsid w:val="000827C0"/>
    <w:rsid w:val="0008302A"/>
    <w:rsid w:val="000830FF"/>
    <w:rsid w:val="000837B0"/>
    <w:rsid w:val="00083FFC"/>
    <w:rsid w:val="00084C56"/>
    <w:rsid w:val="00085098"/>
    <w:rsid w:val="000852ED"/>
    <w:rsid w:val="0008567F"/>
    <w:rsid w:val="00085942"/>
    <w:rsid w:val="00085A15"/>
    <w:rsid w:val="00085D4D"/>
    <w:rsid w:val="0008627D"/>
    <w:rsid w:val="00086527"/>
    <w:rsid w:val="00086AC0"/>
    <w:rsid w:val="00086D30"/>
    <w:rsid w:val="00086FA4"/>
    <w:rsid w:val="00086FB4"/>
    <w:rsid w:val="00087340"/>
    <w:rsid w:val="000873E6"/>
    <w:rsid w:val="00090121"/>
    <w:rsid w:val="000906DE"/>
    <w:rsid w:val="000907C5"/>
    <w:rsid w:val="000909DB"/>
    <w:rsid w:val="00090AE7"/>
    <w:rsid w:val="00091164"/>
    <w:rsid w:val="00091320"/>
    <w:rsid w:val="0009142A"/>
    <w:rsid w:val="000914CF"/>
    <w:rsid w:val="00091671"/>
    <w:rsid w:val="00091DA1"/>
    <w:rsid w:val="000924B5"/>
    <w:rsid w:val="00092545"/>
    <w:rsid w:val="0009306D"/>
    <w:rsid w:val="0009310B"/>
    <w:rsid w:val="00093286"/>
    <w:rsid w:val="00093474"/>
    <w:rsid w:val="00094173"/>
    <w:rsid w:val="000943F9"/>
    <w:rsid w:val="000945A7"/>
    <w:rsid w:val="000957B5"/>
    <w:rsid w:val="000957CA"/>
    <w:rsid w:val="000961C1"/>
    <w:rsid w:val="00096218"/>
    <w:rsid w:val="000962B9"/>
    <w:rsid w:val="0009654C"/>
    <w:rsid w:val="00096878"/>
    <w:rsid w:val="0009691F"/>
    <w:rsid w:val="00096D47"/>
    <w:rsid w:val="00096F3B"/>
    <w:rsid w:val="000970E3"/>
    <w:rsid w:val="00097332"/>
    <w:rsid w:val="000978B2"/>
    <w:rsid w:val="000A0D1A"/>
    <w:rsid w:val="000A0D75"/>
    <w:rsid w:val="000A0D7C"/>
    <w:rsid w:val="000A0DD5"/>
    <w:rsid w:val="000A0F78"/>
    <w:rsid w:val="000A12E5"/>
    <w:rsid w:val="000A12F7"/>
    <w:rsid w:val="000A1B45"/>
    <w:rsid w:val="000A23B0"/>
    <w:rsid w:val="000A2F42"/>
    <w:rsid w:val="000A2FFF"/>
    <w:rsid w:val="000A31E1"/>
    <w:rsid w:val="000A34FF"/>
    <w:rsid w:val="000A3633"/>
    <w:rsid w:val="000A3B30"/>
    <w:rsid w:val="000A3D40"/>
    <w:rsid w:val="000A3E68"/>
    <w:rsid w:val="000A4A5C"/>
    <w:rsid w:val="000A4BEE"/>
    <w:rsid w:val="000A4C3F"/>
    <w:rsid w:val="000A502C"/>
    <w:rsid w:val="000A5516"/>
    <w:rsid w:val="000A568E"/>
    <w:rsid w:val="000A5CB6"/>
    <w:rsid w:val="000A5F48"/>
    <w:rsid w:val="000A61D0"/>
    <w:rsid w:val="000A6FBD"/>
    <w:rsid w:val="000A6FF0"/>
    <w:rsid w:val="000A744F"/>
    <w:rsid w:val="000A75C5"/>
    <w:rsid w:val="000A781F"/>
    <w:rsid w:val="000A7C0E"/>
    <w:rsid w:val="000A7C86"/>
    <w:rsid w:val="000A7F82"/>
    <w:rsid w:val="000B0071"/>
    <w:rsid w:val="000B00F8"/>
    <w:rsid w:val="000B0493"/>
    <w:rsid w:val="000B09D5"/>
    <w:rsid w:val="000B0B73"/>
    <w:rsid w:val="000B0D3C"/>
    <w:rsid w:val="000B0F42"/>
    <w:rsid w:val="000B11EF"/>
    <w:rsid w:val="000B1256"/>
    <w:rsid w:val="000B1475"/>
    <w:rsid w:val="000B14EE"/>
    <w:rsid w:val="000B1543"/>
    <w:rsid w:val="000B16B3"/>
    <w:rsid w:val="000B1CEF"/>
    <w:rsid w:val="000B1E06"/>
    <w:rsid w:val="000B2064"/>
    <w:rsid w:val="000B2225"/>
    <w:rsid w:val="000B2648"/>
    <w:rsid w:val="000B274C"/>
    <w:rsid w:val="000B3049"/>
    <w:rsid w:val="000B34A7"/>
    <w:rsid w:val="000B3DB2"/>
    <w:rsid w:val="000B431A"/>
    <w:rsid w:val="000B452E"/>
    <w:rsid w:val="000B46F7"/>
    <w:rsid w:val="000B4964"/>
    <w:rsid w:val="000B4B05"/>
    <w:rsid w:val="000B4C1F"/>
    <w:rsid w:val="000B5AD1"/>
    <w:rsid w:val="000B5D37"/>
    <w:rsid w:val="000B5F5B"/>
    <w:rsid w:val="000B65FC"/>
    <w:rsid w:val="000B6D0C"/>
    <w:rsid w:val="000B6DDC"/>
    <w:rsid w:val="000B6F58"/>
    <w:rsid w:val="000B73E2"/>
    <w:rsid w:val="000B74D5"/>
    <w:rsid w:val="000C08A3"/>
    <w:rsid w:val="000C0A6D"/>
    <w:rsid w:val="000C0E39"/>
    <w:rsid w:val="000C11B0"/>
    <w:rsid w:val="000C1786"/>
    <w:rsid w:val="000C1CEB"/>
    <w:rsid w:val="000C1D5D"/>
    <w:rsid w:val="000C2010"/>
    <w:rsid w:val="000C2411"/>
    <w:rsid w:val="000C257E"/>
    <w:rsid w:val="000C28CC"/>
    <w:rsid w:val="000C2A6C"/>
    <w:rsid w:val="000C2D87"/>
    <w:rsid w:val="000C2E0A"/>
    <w:rsid w:val="000C33DE"/>
    <w:rsid w:val="000C4573"/>
    <w:rsid w:val="000C45CC"/>
    <w:rsid w:val="000C4629"/>
    <w:rsid w:val="000C4F79"/>
    <w:rsid w:val="000C4FDB"/>
    <w:rsid w:val="000C4FEE"/>
    <w:rsid w:val="000C566C"/>
    <w:rsid w:val="000C571D"/>
    <w:rsid w:val="000C59AF"/>
    <w:rsid w:val="000C5A39"/>
    <w:rsid w:val="000C6653"/>
    <w:rsid w:val="000C6A6D"/>
    <w:rsid w:val="000C6C2C"/>
    <w:rsid w:val="000C725A"/>
    <w:rsid w:val="000C730A"/>
    <w:rsid w:val="000C7F30"/>
    <w:rsid w:val="000D01DB"/>
    <w:rsid w:val="000D111B"/>
    <w:rsid w:val="000D1300"/>
    <w:rsid w:val="000D1322"/>
    <w:rsid w:val="000D14EF"/>
    <w:rsid w:val="000D19E8"/>
    <w:rsid w:val="000D1C53"/>
    <w:rsid w:val="000D1E5C"/>
    <w:rsid w:val="000D1FC0"/>
    <w:rsid w:val="000D23C0"/>
    <w:rsid w:val="000D31A3"/>
    <w:rsid w:val="000D38F1"/>
    <w:rsid w:val="000D3C6C"/>
    <w:rsid w:val="000D4159"/>
    <w:rsid w:val="000D434E"/>
    <w:rsid w:val="000D4758"/>
    <w:rsid w:val="000D4834"/>
    <w:rsid w:val="000D485E"/>
    <w:rsid w:val="000D4A53"/>
    <w:rsid w:val="000D5C60"/>
    <w:rsid w:val="000D5DF8"/>
    <w:rsid w:val="000D6228"/>
    <w:rsid w:val="000D6371"/>
    <w:rsid w:val="000D66A1"/>
    <w:rsid w:val="000D7397"/>
    <w:rsid w:val="000D73EE"/>
    <w:rsid w:val="000D74A8"/>
    <w:rsid w:val="000D7846"/>
    <w:rsid w:val="000D78DB"/>
    <w:rsid w:val="000D79FB"/>
    <w:rsid w:val="000D7A88"/>
    <w:rsid w:val="000D7CBC"/>
    <w:rsid w:val="000D7D38"/>
    <w:rsid w:val="000D7E98"/>
    <w:rsid w:val="000E03C0"/>
    <w:rsid w:val="000E0673"/>
    <w:rsid w:val="000E0832"/>
    <w:rsid w:val="000E086C"/>
    <w:rsid w:val="000E0AA1"/>
    <w:rsid w:val="000E103B"/>
    <w:rsid w:val="000E133B"/>
    <w:rsid w:val="000E14CF"/>
    <w:rsid w:val="000E18FD"/>
    <w:rsid w:val="000E1A80"/>
    <w:rsid w:val="000E1CA2"/>
    <w:rsid w:val="000E1F44"/>
    <w:rsid w:val="000E2C93"/>
    <w:rsid w:val="000E3512"/>
    <w:rsid w:val="000E3AC7"/>
    <w:rsid w:val="000E3CA0"/>
    <w:rsid w:val="000E3FC1"/>
    <w:rsid w:val="000E4492"/>
    <w:rsid w:val="000E44B4"/>
    <w:rsid w:val="000E49B9"/>
    <w:rsid w:val="000E4BFD"/>
    <w:rsid w:val="000E52BD"/>
    <w:rsid w:val="000E5420"/>
    <w:rsid w:val="000E5951"/>
    <w:rsid w:val="000E5975"/>
    <w:rsid w:val="000E5A13"/>
    <w:rsid w:val="000E5A6B"/>
    <w:rsid w:val="000E5B17"/>
    <w:rsid w:val="000E5B4A"/>
    <w:rsid w:val="000E5FD0"/>
    <w:rsid w:val="000E6097"/>
    <w:rsid w:val="000E6151"/>
    <w:rsid w:val="000E632A"/>
    <w:rsid w:val="000E641C"/>
    <w:rsid w:val="000E72A0"/>
    <w:rsid w:val="000E74DB"/>
    <w:rsid w:val="000E7675"/>
    <w:rsid w:val="000E78D5"/>
    <w:rsid w:val="000F0389"/>
    <w:rsid w:val="000F05BA"/>
    <w:rsid w:val="000F07D6"/>
    <w:rsid w:val="000F0A89"/>
    <w:rsid w:val="000F0DF3"/>
    <w:rsid w:val="000F119C"/>
    <w:rsid w:val="000F1DC6"/>
    <w:rsid w:val="000F269B"/>
    <w:rsid w:val="000F279A"/>
    <w:rsid w:val="000F30FC"/>
    <w:rsid w:val="000F317B"/>
    <w:rsid w:val="000F35D1"/>
    <w:rsid w:val="000F35DF"/>
    <w:rsid w:val="000F360C"/>
    <w:rsid w:val="000F3611"/>
    <w:rsid w:val="000F4096"/>
    <w:rsid w:val="000F4BEF"/>
    <w:rsid w:val="000F4C3E"/>
    <w:rsid w:val="000F4D2A"/>
    <w:rsid w:val="000F4E28"/>
    <w:rsid w:val="000F5456"/>
    <w:rsid w:val="000F5666"/>
    <w:rsid w:val="000F6B44"/>
    <w:rsid w:val="000F7718"/>
    <w:rsid w:val="000F77B0"/>
    <w:rsid w:val="000F79AF"/>
    <w:rsid w:val="000F7A0C"/>
    <w:rsid w:val="0010010C"/>
    <w:rsid w:val="00100449"/>
    <w:rsid w:val="00100D92"/>
    <w:rsid w:val="00101177"/>
    <w:rsid w:val="00101719"/>
    <w:rsid w:val="00101B5A"/>
    <w:rsid w:val="00101B72"/>
    <w:rsid w:val="0010222C"/>
    <w:rsid w:val="00102245"/>
    <w:rsid w:val="00102777"/>
    <w:rsid w:val="00102B6D"/>
    <w:rsid w:val="0010315F"/>
    <w:rsid w:val="00103AE7"/>
    <w:rsid w:val="00103C89"/>
    <w:rsid w:val="00103CE8"/>
    <w:rsid w:val="00104360"/>
    <w:rsid w:val="00104519"/>
    <w:rsid w:val="001045A4"/>
    <w:rsid w:val="00104834"/>
    <w:rsid w:val="001049A9"/>
    <w:rsid w:val="00104E6E"/>
    <w:rsid w:val="001052A1"/>
    <w:rsid w:val="0010538A"/>
    <w:rsid w:val="00105403"/>
    <w:rsid w:val="00105DEB"/>
    <w:rsid w:val="0010611A"/>
    <w:rsid w:val="001062ED"/>
    <w:rsid w:val="00106D20"/>
    <w:rsid w:val="0010706B"/>
    <w:rsid w:val="00107545"/>
    <w:rsid w:val="00107863"/>
    <w:rsid w:val="001100A5"/>
    <w:rsid w:val="00110143"/>
    <w:rsid w:val="00110316"/>
    <w:rsid w:val="00110C20"/>
    <w:rsid w:val="00110C83"/>
    <w:rsid w:val="00111064"/>
    <w:rsid w:val="0011155E"/>
    <w:rsid w:val="001116D1"/>
    <w:rsid w:val="00111CCD"/>
    <w:rsid w:val="00112049"/>
    <w:rsid w:val="0011221D"/>
    <w:rsid w:val="0011255E"/>
    <w:rsid w:val="001128C5"/>
    <w:rsid w:val="00112E29"/>
    <w:rsid w:val="001130D0"/>
    <w:rsid w:val="00113888"/>
    <w:rsid w:val="00113912"/>
    <w:rsid w:val="00114ABB"/>
    <w:rsid w:val="00114BEB"/>
    <w:rsid w:val="00114C2B"/>
    <w:rsid w:val="00114DC0"/>
    <w:rsid w:val="00115357"/>
    <w:rsid w:val="001157F9"/>
    <w:rsid w:val="0011587F"/>
    <w:rsid w:val="001158A4"/>
    <w:rsid w:val="001161DD"/>
    <w:rsid w:val="00116507"/>
    <w:rsid w:val="0011669A"/>
    <w:rsid w:val="001167C9"/>
    <w:rsid w:val="00116E4E"/>
    <w:rsid w:val="001171B2"/>
    <w:rsid w:val="00117701"/>
    <w:rsid w:val="001177E8"/>
    <w:rsid w:val="00117A20"/>
    <w:rsid w:val="00120345"/>
    <w:rsid w:val="00120513"/>
    <w:rsid w:val="00120899"/>
    <w:rsid w:val="0012091D"/>
    <w:rsid w:val="001211D2"/>
    <w:rsid w:val="0012121F"/>
    <w:rsid w:val="0012158B"/>
    <w:rsid w:val="001216E5"/>
    <w:rsid w:val="001217CA"/>
    <w:rsid w:val="00121E27"/>
    <w:rsid w:val="00122334"/>
    <w:rsid w:val="00122727"/>
    <w:rsid w:val="001227D8"/>
    <w:rsid w:val="001230CB"/>
    <w:rsid w:val="001235C7"/>
    <w:rsid w:val="00123A06"/>
    <w:rsid w:val="00123BD3"/>
    <w:rsid w:val="0012435E"/>
    <w:rsid w:val="001248AD"/>
    <w:rsid w:val="00124C3E"/>
    <w:rsid w:val="00124E41"/>
    <w:rsid w:val="00124F6B"/>
    <w:rsid w:val="00125EE6"/>
    <w:rsid w:val="00126241"/>
    <w:rsid w:val="00126418"/>
    <w:rsid w:val="0012694D"/>
    <w:rsid w:val="001276AA"/>
    <w:rsid w:val="00127780"/>
    <w:rsid w:val="0012780A"/>
    <w:rsid w:val="0012780F"/>
    <w:rsid w:val="00127E32"/>
    <w:rsid w:val="0013034E"/>
    <w:rsid w:val="00130658"/>
    <w:rsid w:val="0013076B"/>
    <w:rsid w:val="00130D77"/>
    <w:rsid w:val="00130E2D"/>
    <w:rsid w:val="00130FF3"/>
    <w:rsid w:val="00131AED"/>
    <w:rsid w:val="00131D1F"/>
    <w:rsid w:val="00131FF1"/>
    <w:rsid w:val="00132186"/>
    <w:rsid w:val="00132384"/>
    <w:rsid w:val="00132637"/>
    <w:rsid w:val="0013278E"/>
    <w:rsid w:val="0013281C"/>
    <w:rsid w:val="00132B43"/>
    <w:rsid w:val="00132D0C"/>
    <w:rsid w:val="0013345A"/>
    <w:rsid w:val="00133794"/>
    <w:rsid w:val="00133A58"/>
    <w:rsid w:val="00133E61"/>
    <w:rsid w:val="00133EB1"/>
    <w:rsid w:val="001349BE"/>
    <w:rsid w:val="00134BF6"/>
    <w:rsid w:val="00134DAE"/>
    <w:rsid w:val="00135241"/>
    <w:rsid w:val="001352B5"/>
    <w:rsid w:val="00135BE5"/>
    <w:rsid w:val="00136175"/>
    <w:rsid w:val="00136693"/>
    <w:rsid w:val="00136BFB"/>
    <w:rsid w:val="00136C53"/>
    <w:rsid w:val="00137105"/>
    <w:rsid w:val="00137376"/>
    <w:rsid w:val="00137474"/>
    <w:rsid w:val="001375BF"/>
    <w:rsid w:val="00137642"/>
    <w:rsid w:val="00137D28"/>
    <w:rsid w:val="001401E8"/>
    <w:rsid w:val="0014033E"/>
    <w:rsid w:val="001408C4"/>
    <w:rsid w:val="00141257"/>
    <w:rsid w:val="0014128B"/>
    <w:rsid w:val="001416C5"/>
    <w:rsid w:val="00141959"/>
    <w:rsid w:val="00141999"/>
    <w:rsid w:val="00141FCA"/>
    <w:rsid w:val="001421B0"/>
    <w:rsid w:val="00142365"/>
    <w:rsid w:val="00142421"/>
    <w:rsid w:val="00142703"/>
    <w:rsid w:val="00142909"/>
    <w:rsid w:val="00142953"/>
    <w:rsid w:val="00142ACA"/>
    <w:rsid w:val="00142DF2"/>
    <w:rsid w:val="001432CB"/>
    <w:rsid w:val="00143419"/>
    <w:rsid w:val="00143B28"/>
    <w:rsid w:val="00143F2F"/>
    <w:rsid w:val="001442B1"/>
    <w:rsid w:val="001450BA"/>
    <w:rsid w:val="00145121"/>
    <w:rsid w:val="0014547A"/>
    <w:rsid w:val="001454E9"/>
    <w:rsid w:val="001457B5"/>
    <w:rsid w:val="00145942"/>
    <w:rsid w:val="00145AD8"/>
    <w:rsid w:val="00145C51"/>
    <w:rsid w:val="00146064"/>
    <w:rsid w:val="0014661E"/>
    <w:rsid w:val="00147B13"/>
    <w:rsid w:val="00150159"/>
    <w:rsid w:val="00150CE9"/>
    <w:rsid w:val="0015113F"/>
    <w:rsid w:val="001512C0"/>
    <w:rsid w:val="001518F2"/>
    <w:rsid w:val="00151A3A"/>
    <w:rsid w:val="001524A7"/>
    <w:rsid w:val="00152D39"/>
    <w:rsid w:val="00152ECF"/>
    <w:rsid w:val="00152EE4"/>
    <w:rsid w:val="0015320F"/>
    <w:rsid w:val="001532FF"/>
    <w:rsid w:val="00153D98"/>
    <w:rsid w:val="001541A9"/>
    <w:rsid w:val="00154D51"/>
    <w:rsid w:val="0015519C"/>
    <w:rsid w:val="0015542A"/>
    <w:rsid w:val="0015557A"/>
    <w:rsid w:val="001555CF"/>
    <w:rsid w:val="001556F0"/>
    <w:rsid w:val="00155775"/>
    <w:rsid w:val="00156381"/>
    <w:rsid w:val="00156572"/>
    <w:rsid w:val="00156582"/>
    <w:rsid w:val="001566AE"/>
    <w:rsid w:val="00156724"/>
    <w:rsid w:val="001568F3"/>
    <w:rsid w:val="001569EB"/>
    <w:rsid w:val="00156B12"/>
    <w:rsid w:val="00156B54"/>
    <w:rsid w:val="00156E15"/>
    <w:rsid w:val="00157175"/>
    <w:rsid w:val="0015762B"/>
    <w:rsid w:val="001579B8"/>
    <w:rsid w:val="00157C79"/>
    <w:rsid w:val="0016024D"/>
    <w:rsid w:val="00160596"/>
    <w:rsid w:val="00160882"/>
    <w:rsid w:val="00161124"/>
    <w:rsid w:val="001613ED"/>
    <w:rsid w:val="00161C13"/>
    <w:rsid w:val="00161DDF"/>
    <w:rsid w:val="0016246B"/>
    <w:rsid w:val="00162922"/>
    <w:rsid w:val="00163636"/>
    <w:rsid w:val="00163D48"/>
    <w:rsid w:val="00163DDE"/>
    <w:rsid w:val="0016458C"/>
    <w:rsid w:val="00164ABB"/>
    <w:rsid w:val="00164E6A"/>
    <w:rsid w:val="00164EF3"/>
    <w:rsid w:val="001651F7"/>
    <w:rsid w:val="0016536B"/>
    <w:rsid w:val="00165989"/>
    <w:rsid w:val="001661E9"/>
    <w:rsid w:val="0016663F"/>
    <w:rsid w:val="00166768"/>
    <w:rsid w:val="001667CA"/>
    <w:rsid w:val="00166EC2"/>
    <w:rsid w:val="00167111"/>
    <w:rsid w:val="00167315"/>
    <w:rsid w:val="001676DE"/>
    <w:rsid w:val="00167750"/>
    <w:rsid w:val="00167C10"/>
    <w:rsid w:val="00167CBC"/>
    <w:rsid w:val="00167F17"/>
    <w:rsid w:val="0017046A"/>
    <w:rsid w:val="00170504"/>
    <w:rsid w:val="00170A57"/>
    <w:rsid w:val="00170C3B"/>
    <w:rsid w:val="00170DEC"/>
    <w:rsid w:val="00171826"/>
    <w:rsid w:val="001719BB"/>
    <w:rsid w:val="00171B49"/>
    <w:rsid w:val="00171B99"/>
    <w:rsid w:val="00171D3E"/>
    <w:rsid w:val="00171E1D"/>
    <w:rsid w:val="00171EAD"/>
    <w:rsid w:val="001722E8"/>
    <w:rsid w:val="00172338"/>
    <w:rsid w:val="00172419"/>
    <w:rsid w:val="00172441"/>
    <w:rsid w:val="0017272C"/>
    <w:rsid w:val="00172B23"/>
    <w:rsid w:val="00172C08"/>
    <w:rsid w:val="00172EC9"/>
    <w:rsid w:val="00172EDC"/>
    <w:rsid w:val="00172F75"/>
    <w:rsid w:val="00172F8A"/>
    <w:rsid w:val="00173426"/>
    <w:rsid w:val="00173C35"/>
    <w:rsid w:val="0017452D"/>
    <w:rsid w:val="0017538A"/>
    <w:rsid w:val="00175742"/>
    <w:rsid w:val="00175A36"/>
    <w:rsid w:val="00175FF6"/>
    <w:rsid w:val="0017604B"/>
    <w:rsid w:val="0017655B"/>
    <w:rsid w:val="001765A2"/>
    <w:rsid w:val="00176871"/>
    <w:rsid w:val="001768CF"/>
    <w:rsid w:val="00176B40"/>
    <w:rsid w:val="00176C01"/>
    <w:rsid w:val="00176C28"/>
    <w:rsid w:val="001773ED"/>
    <w:rsid w:val="00177D25"/>
    <w:rsid w:val="00177E4A"/>
    <w:rsid w:val="0018073B"/>
    <w:rsid w:val="001808BE"/>
    <w:rsid w:val="00180BE9"/>
    <w:rsid w:val="00180C08"/>
    <w:rsid w:val="0018108E"/>
    <w:rsid w:val="0018145C"/>
    <w:rsid w:val="001815E3"/>
    <w:rsid w:val="00181747"/>
    <w:rsid w:val="0018271E"/>
    <w:rsid w:val="00182869"/>
    <w:rsid w:val="001828BB"/>
    <w:rsid w:val="00182CD8"/>
    <w:rsid w:val="00182E02"/>
    <w:rsid w:val="001836EB"/>
    <w:rsid w:val="00183DE1"/>
    <w:rsid w:val="00184074"/>
    <w:rsid w:val="001845AE"/>
    <w:rsid w:val="00184651"/>
    <w:rsid w:val="00184833"/>
    <w:rsid w:val="00184C3D"/>
    <w:rsid w:val="00184C9C"/>
    <w:rsid w:val="0018560C"/>
    <w:rsid w:val="0018587B"/>
    <w:rsid w:val="00185BDB"/>
    <w:rsid w:val="00185CF5"/>
    <w:rsid w:val="00185EDD"/>
    <w:rsid w:val="0018645C"/>
    <w:rsid w:val="001864DD"/>
    <w:rsid w:val="00186698"/>
    <w:rsid w:val="00186902"/>
    <w:rsid w:val="00186AC0"/>
    <w:rsid w:val="00186D70"/>
    <w:rsid w:val="0018753E"/>
    <w:rsid w:val="001877FF"/>
    <w:rsid w:val="00187A32"/>
    <w:rsid w:val="00187E38"/>
    <w:rsid w:val="0019084D"/>
    <w:rsid w:val="00191F41"/>
    <w:rsid w:val="00192139"/>
    <w:rsid w:val="001926F4"/>
    <w:rsid w:val="00192C55"/>
    <w:rsid w:val="00192FE0"/>
    <w:rsid w:val="00193788"/>
    <w:rsid w:val="0019386E"/>
    <w:rsid w:val="001939F5"/>
    <w:rsid w:val="00193A30"/>
    <w:rsid w:val="00193A6C"/>
    <w:rsid w:val="00193AF7"/>
    <w:rsid w:val="00193FD6"/>
    <w:rsid w:val="00193FEF"/>
    <w:rsid w:val="0019488F"/>
    <w:rsid w:val="00194E5E"/>
    <w:rsid w:val="0019513B"/>
    <w:rsid w:val="001953A6"/>
    <w:rsid w:val="001958A9"/>
    <w:rsid w:val="001959EE"/>
    <w:rsid w:val="00195CE6"/>
    <w:rsid w:val="00195F89"/>
    <w:rsid w:val="001960AC"/>
    <w:rsid w:val="00196590"/>
    <w:rsid w:val="001966D7"/>
    <w:rsid w:val="0019682F"/>
    <w:rsid w:val="00196ECF"/>
    <w:rsid w:val="00197E26"/>
    <w:rsid w:val="00197F43"/>
    <w:rsid w:val="001A00D4"/>
    <w:rsid w:val="001A02FF"/>
    <w:rsid w:val="001A04A1"/>
    <w:rsid w:val="001A0E3D"/>
    <w:rsid w:val="001A1065"/>
    <w:rsid w:val="001A14FC"/>
    <w:rsid w:val="001A1624"/>
    <w:rsid w:val="001A16AE"/>
    <w:rsid w:val="001A1934"/>
    <w:rsid w:val="001A2606"/>
    <w:rsid w:val="001A26D0"/>
    <w:rsid w:val="001A28A8"/>
    <w:rsid w:val="001A2BC8"/>
    <w:rsid w:val="001A3140"/>
    <w:rsid w:val="001A39E1"/>
    <w:rsid w:val="001A3F34"/>
    <w:rsid w:val="001A4601"/>
    <w:rsid w:val="001A4AAE"/>
    <w:rsid w:val="001A4D03"/>
    <w:rsid w:val="001A582A"/>
    <w:rsid w:val="001A58C2"/>
    <w:rsid w:val="001A5935"/>
    <w:rsid w:val="001A6145"/>
    <w:rsid w:val="001A6503"/>
    <w:rsid w:val="001A6658"/>
    <w:rsid w:val="001A6857"/>
    <w:rsid w:val="001A68F1"/>
    <w:rsid w:val="001A6BFD"/>
    <w:rsid w:val="001A6CA2"/>
    <w:rsid w:val="001A6FE7"/>
    <w:rsid w:val="001A7239"/>
    <w:rsid w:val="001A779F"/>
    <w:rsid w:val="001A7D94"/>
    <w:rsid w:val="001B00D0"/>
    <w:rsid w:val="001B012D"/>
    <w:rsid w:val="001B05DC"/>
    <w:rsid w:val="001B0CB9"/>
    <w:rsid w:val="001B1293"/>
    <w:rsid w:val="001B1D34"/>
    <w:rsid w:val="001B246E"/>
    <w:rsid w:val="001B25A9"/>
    <w:rsid w:val="001B26D8"/>
    <w:rsid w:val="001B390A"/>
    <w:rsid w:val="001B4407"/>
    <w:rsid w:val="001B46D1"/>
    <w:rsid w:val="001B474D"/>
    <w:rsid w:val="001B4BAC"/>
    <w:rsid w:val="001B4C73"/>
    <w:rsid w:val="001B53E4"/>
    <w:rsid w:val="001B542A"/>
    <w:rsid w:val="001B56AC"/>
    <w:rsid w:val="001B6011"/>
    <w:rsid w:val="001B607D"/>
    <w:rsid w:val="001B60C2"/>
    <w:rsid w:val="001B66AA"/>
    <w:rsid w:val="001B69DC"/>
    <w:rsid w:val="001B6CB8"/>
    <w:rsid w:val="001B6EA0"/>
    <w:rsid w:val="001B7AEB"/>
    <w:rsid w:val="001B7AEC"/>
    <w:rsid w:val="001B7FDB"/>
    <w:rsid w:val="001C00C2"/>
    <w:rsid w:val="001C0241"/>
    <w:rsid w:val="001C052C"/>
    <w:rsid w:val="001C0804"/>
    <w:rsid w:val="001C0891"/>
    <w:rsid w:val="001C0FDC"/>
    <w:rsid w:val="001C191F"/>
    <w:rsid w:val="001C1B4E"/>
    <w:rsid w:val="001C1BA9"/>
    <w:rsid w:val="001C209C"/>
    <w:rsid w:val="001C2547"/>
    <w:rsid w:val="001C265B"/>
    <w:rsid w:val="001C3464"/>
    <w:rsid w:val="001C3E4F"/>
    <w:rsid w:val="001C3F39"/>
    <w:rsid w:val="001C3FB2"/>
    <w:rsid w:val="001C40F1"/>
    <w:rsid w:val="001C42CD"/>
    <w:rsid w:val="001C454E"/>
    <w:rsid w:val="001C46D7"/>
    <w:rsid w:val="001C5699"/>
    <w:rsid w:val="001C583C"/>
    <w:rsid w:val="001C5CA2"/>
    <w:rsid w:val="001C5FE5"/>
    <w:rsid w:val="001C61DD"/>
    <w:rsid w:val="001C7565"/>
    <w:rsid w:val="001C779A"/>
    <w:rsid w:val="001C7BB9"/>
    <w:rsid w:val="001C7D79"/>
    <w:rsid w:val="001D0B98"/>
    <w:rsid w:val="001D133A"/>
    <w:rsid w:val="001D1732"/>
    <w:rsid w:val="001D1B39"/>
    <w:rsid w:val="001D252A"/>
    <w:rsid w:val="001D253C"/>
    <w:rsid w:val="001D275C"/>
    <w:rsid w:val="001D2C0E"/>
    <w:rsid w:val="001D2D8A"/>
    <w:rsid w:val="001D2DB3"/>
    <w:rsid w:val="001D30F7"/>
    <w:rsid w:val="001D314B"/>
    <w:rsid w:val="001D332D"/>
    <w:rsid w:val="001D3A53"/>
    <w:rsid w:val="001D3C59"/>
    <w:rsid w:val="001D3CE9"/>
    <w:rsid w:val="001D3DDA"/>
    <w:rsid w:val="001D410C"/>
    <w:rsid w:val="001D420E"/>
    <w:rsid w:val="001D43E5"/>
    <w:rsid w:val="001D4635"/>
    <w:rsid w:val="001D4D39"/>
    <w:rsid w:val="001D4E57"/>
    <w:rsid w:val="001D538A"/>
    <w:rsid w:val="001D53FC"/>
    <w:rsid w:val="001D5420"/>
    <w:rsid w:val="001D54B0"/>
    <w:rsid w:val="001D5790"/>
    <w:rsid w:val="001D58CE"/>
    <w:rsid w:val="001D5960"/>
    <w:rsid w:val="001D59FA"/>
    <w:rsid w:val="001D5E01"/>
    <w:rsid w:val="001D5FB1"/>
    <w:rsid w:val="001D619D"/>
    <w:rsid w:val="001D61D4"/>
    <w:rsid w:val="001D6B03"/>
    <w:rsid w:val="001D6E9C"/>
    <w:rsid w:val="001D6EDC"/>
    <w:rsid w:val="001D7005"/>
    <w:rsid w:val="001D77D7"/>
    <w:rsid w:val="001D7A19"/>
    <w:rsid w:val="001D7ACE"/>
    <w:rsid w:val="001E1745"/>
    <w:rsid w:val="001E1A12"/>
    <w:rsid w:val="001E1C86"/>
    <w:rsid w:val="001E2124"/>
    <w:rsid w:val="001E21AB"/>
    <w:rsid w:val="001E2418"/>
    <w:rsid w:val="001E2561"/>
    <w:rsid w:val="001E2A39"/>
    <w:rsid w:val="001E3397"/>
    <w:rsid w:val="001E33E7"/>
    <w:rsid w:val="001E36E1"/>
    <w:rsid w:val="001E39EF"/>
    <w:rsid w:val="001E3C1A"/>
    <w:rsid w:val="001E3E02"/>
    <w:rsid w:val="001E4506"/>
    <w:rsid w:val="001E459B"/>
    <w:rsid w:val="001E4811"/>
    <w:rsid w:val="001E502C"/>
    <w:rsid w:val="001E5435"/>
    <w:rsid w:val="001E54E1"/>
    <w:rsid w:val="001E604F"/>
    <w:rsid w:val="001E755D"/>
    <w:rsid w:val="001E7AE0"/>
    <w:rsid w:val="001E7B69"/>
    <w:rsid w:val="001F0547"/>
    <w:rsid w:val="001F0878"/>
    <w:rsid w:val="001F14B0"/>
    <w:rsid w:val="001F1511"/>
    <w:rsid w:val="001F174F"/>
    <w:rsid w:val="001F1AF7"/>
    <w:rsid w:val="001F25EF"/>
    <w:rsid w:val="001F263B"/>
    <w:rsid w:val="001F2641"/>
    <w:rsid w:val="001F287A"/>
    <w:rsid w:val="001F3074"/>
    <w:rsid w:val="001F31B5"/>
    <w:rsid w:val="001F33AF"/>
    <w:rsid w:val="001F3ACC"/>
    <w:rsid w:val="001F3B47"/>
    <w:rsid w:val="001F3F8A"/>
    <w:rsid w:val="001F55CB"/>
    <w:rsid w:val="001F5DF8"/>
    <w:rsid w:val="001F6211"/>
    <w:rsid w:val="001F6E94"/>
    <w:rsid w:val="001F771E"/>
    <w:rsid w:val="001F7ABB"/>
    <w:rsid w:val="001F7AC9"/>
    <w:rsid w:val="001F7E0D"/>
    <w:rsid w:val="001F7E81"/>
    <w:rsid w:val="0020016D"/>
    <w:rsid w:val="002002A7"/>
    <w:rsid w:val="0020034D"/>
    <w:rsid w:val="0020045B"/>
    <w:rsid w:val="00200556"/>
    <w:rsid w:val="00200636"/>
    <w:rsid w:val="002006D7"/>
    <w:rsid w:val="00200A1E"/>
    <w:rsid w:val="00200C16"/>
    <w:rsid w:val="00200CD5"/>
    <w:rsid w:val="00201261"/>
    <w:rsid w:val="00201D19"/>
    <w:rsid w:val="00201FB0"/>
    <w:rsid w:val="00202014"/>
    <w:rsid w:val="002023B6"/>
    <w:rsid w:val="00202713"/>
    <w:rsid w:val="00202AE2"/>
    <w:rsid w:val="00203471"/>
    <w:rsid w:val="00203550"/>
    <w:rsid w:val="0020408E"/>
    <w:rsid w:val="002040C0"/>
    <w:rsid w:val="00204157"/>
    <w:rsid w:val="002041F4"/>
    <w:rsid w:val="00204807"/>
    <w:rsid w:val="00204BC2"/>
    <w:rsid w:val="00204D76"/>
    <w:rsid w:val="002052BC"/>
    <w:rsid w:val="002053FE"/>
    <w:rsid w:val="00205483"/>
    <w:rsid w:val="002054E2"/>
    <w:rsid w:val="00205927"/>
    <w:rsid w:val="00205AB1"/>
    <w:rsid w:val="00205C8B"/>
    <w:rsid w:val="00205DC8"/>
    <w:rsid w:val="0020607F"/>
    <w:rsid w:val="002069AE"/>
    <w:rsid w:val="00206AD6"/>
    <w:rsid w:val="00206F67"/>
    <w:rsid w:val="002070C6"/>
    <w:rsid w:val="00207D7A"/>
    <w:rsid w:val="00207E9D"/>
    <w:rsid w:val="00207F8B"/>
    <w:rsid w:val="00210003"/>
    <w:rsid w:val="00210231"/>
    <w:rsid w:val="002104AE"/>
    <w:rsid w:val="002104B4"/>
    <w:rsid w:val="00210E62"/>
    <w:rsid w:val="00210E7F"/>
    <w:rsid w:val="002118E5"/>
    <w:rsid w:val="00211E6B"/>
    <w:rsid w:val="00212033"/>
    <w:rsid w:val="002129E4"/>
    <w:rsid w:val="00212A2D"/>
    <w:rsid w:val="00212A38"/>
    <w:rsid w:val="00212C83"/>
    <w:rsid w:val="00213476"/>
    <w:rsid w:val="0021385E"/>
    <w:rsid w:val="00213872"/>
    <w:rsid w:val="00213A2E"/>
    <w:rsid w:val="00214404"/>
    <w:rsid w:val="002144A9"/>
    <w:rsid w:val="002144D3"/>
    <w:rsid w:val="00214939"/>
    <w:rsid w:val="00214B9A"/>
    <w:rsid w:val="00214E46"/>
    <w:rsid w:val="00214E90"/>
    <w:rsid w:val="00215233"/>
    <w:rsid w:val="00215A52"/>
    <w:rsid w:val="00215ACC"/>
    <w:rsid w:val="00215C43"/>
    <w:rsid w:val="002160FC"/>
    <w:rsid w:val="002163D8"/>
    <w:rsid w:val="00216589"/>
    <w:rsid w:val="00216E5D"/>
    <w:rsid w:val="00217051"/>
    <w:rsid w:val="00217388"/>
    <w:rsid w:val="002173C0"/>
    <w:rsid w:val="002173F1"/>
    <w:rsid w:val="002175B4"/>
    <w:rsid w:val="002175F4"/>
    <w:rsid w:val="0021782A"/>
    <w:rsid w:val="00217884"/>
    <w:rsid w:val="00217B23"/>
    <w:rsid w:val="00217FBD"/>
    <w:rsid w:val="00220167"/>
    <w:rsid w:val="002201A2"/>
    <w:rsid w:val="002203E4"/>
    <w:rsid w:val="00220802"/>
    <w:rsid w:val="002208B8"/>
    <w:rsid w:val="00220B73"/>
    <w:rsid w:val="00220C0C"/>
    <w:rsid w:val="00220E2F"/>
    <w:rsid w:val="002211B5"/>
    <w:rsid w:val="00221342"/>
    <w:rsid w:val="002215CD"/>
    <w:rsid w:val="0022188F"/>
    <w:rsid w:val="00221AE9"/>
    <w:rsid w:val="00221C4D"/>
    <w:rsid w:val="002220D5"/>
    <w:rsid w:val="00222275"/>
    <w:rsid w:val="002226B7"/>
    <w:rsid w:val="00222A78"/>
    <w:rsid w:val="00222AC2"/>
    <w:rsid w:val="00222F0E"/>
    <w:rsid w:val="00223005"/>
    <w:rsid w:val="002231D7"/>
    <w:rsid w:val="002234BD"/>
    <w:rsid w:val="00223676"/>
    <w:rsid w:val="0022371D"/>
    <w:rsid w:val="00223AC5"/>
    <w:rsid w:val="00223CC7"/>
    <w:rsid w:val="00223D3C"/>
    <w:rsid w:val="00224239"/>
    <w:rsid w:val="0022441F"/>
    <w:rsid w:val="002244B2"/>
    <w:rsid w:val="00224AD2"/>
    <w:rsid w:val="00224E6C"/>
    <w:rsid w:val="00224FFF"/>
    <w:rsid w:val="0022530A"/>
    <w:rsid w:val="002254EF"/>
    <w:rsid w:val="002256DC"/>
    <w:rsid w:val="00225C64"/>
    <w:rsid w:val="00225D24"/>
    <w:rsid w:val="00225F1A"/>
    <w:rsid w:val="002261C9"/>
    <w:rsid w:val="00226597"/>
    <w:rsid w:val="00226A31"/>
    <w:rsid w:val="00226AC3"/>
    <w:rsid w:val="00226ADA"/>
    <w:rsid w:val="00226C50"/>
    <w:rsid w:val="00226FB1"/>
    <w:rsid w:val="00227247"/>
    <w:rsid w:val="002272C8"/>
    <w:rsid w:val="00227E1B"/>
    <w:rsid w:val="00227EC9"/>
    <w:rsid w:val="00230078"/>
    <w:rsid w:val="002303A0"/>
    <w:rsid w:val="0023050C"/>
    <w:rsid w:val="0023078D"/>
    <w:rsid w:val="00230A71"/>
    <w:rsid w:val="00230C77"/>
    <w:rsid w:val="00230E8B"/>
    <w:rsid w:val="0023127C"/>
    <w:rsid w:val="002316C8"/>
    <w:rsid w:val="00231775"/>
    <w:rsid w:val="00231BDF"/>
    <w:rsid w:val="00231C02"/>
    <w:rsid w:val="002321C2"/>
    <w:rsid w:val="00232259"/>
    <w:rsid w:val="00232355"/>
    <w:rsid w:val="0023266A"/>
    <w:rsid w:val="00232A1F"/>
    <w:rsid w:val="00232AAD"/>
    <w:rsid w:val="00233070"/>
    <w:rsid w:val="00233540"/>
    <w:rsid w:val="002335A2"/>
    <w:rsid w:val="00233FEE"/>
    <w:rsid w:val="002344C0"/>
    <w:rsid w:val="00234A54"/>
    <w:rsid w:val="00234D6F"/>
    <w:rsid w:val="00235174"/>
    <w:rsid w:val="00235B98"/>
    <w:rsid w:val="00235E03"/>
    <w:rsid w:val="00235EED"/>
    <w:rsid w:val="00235F6E"/>
    <w:rsid w:val="00236115"/>
    <w:rsid w:val="00236572"/>
    <w:rsid w:val="0023695B"/>
    <w:rsid w:val="00236AD7"/>
    <w:rsid w:val="00236C11"/>
    <w:rsid w:val="002372DA"/>
    <w:rsid w:val="00237544"/>
    <w:rsid w:val="00237999"/>
    <w:rsid w:val="00237E45"/>
    <w:rsid w:val="002401BC"/>
    <w:rsid w:val="0024054E"/>
    <w:rsid w:val="002407DD"/>
    <w:rsid w:val="00240A0E"/>
    <w:rsid w:val="00240A8E"/>
    <w:rsid w:val="00240E48"/>
    <w:rsid w:val="00241741"/>
    <w:rsid w:val="0024182F"/>
    <w:rsid w:val="00241A9B"/>
    <w:rsid w:val="00241EF4"/>
    <w:rsid w:val="002425EB"/>
    <w:rsid w:val="0024260B"/>
    <w:rsid w:val="0024270D"/>
    <w:rsid w:val="00242B35"/>
    <w:rsid w:val="00242CCB"/>
    <w:rsid w:val="00242F45"/>
    <w:rsid w:val="00243015"/>
    <w:rsid w:val="00243029"/>
    <w:rsid w:val="002434B3"/>
    <w:rsid w:val="002438E5"/>
    <w:rsid w:val="00244F33"/>
    <w:rsid w:val="00244FAE"/>
    <w:rsid w:val="00245660"/>
    <w:rsid w:val="002458D0"/>
    <w:rsid w:val="002459DA"/>
    <w:rsid w:val="00245ECD"/>
    <w:rsid w:val="002461CD"/>
    <w:rsid w:val="00246621"/>
    <w:rsid w:val="0024682A"/>
    <w:rsid w:val="002469E6"/>
    <w:rsid w:val="00246F1C"/>
    <w:rsid w:val="00247577"/>
    <w:rsid w:val="00247D48"/>
    <w:rsid w:val="0025005D"/>
    <w:rsid w:val="002502FC"/>
    <w:rsid w:val="002507AE"/>
    <w:rsid w:val="00250D5E"/>
    <w:rsid w:val="00250DBD"/>
    <w:rsid w:val="00250E95"/>
    <w:rsid w:val="00250FA8"/>
    <w:rsid w:val="002514BD"/>
    <w:rsid w:val="00251823"/>
    <w:rsid w:val="00251A8A"/>
    <w:rsid w:val="00251C2E"/>
    <w:rsid w:val="00251CF4"/>
    <w:rsid w:val="00252056"/>
    <w:rsid w:val="0025240A"/>
    <w:rsid w:val="002526CC"/>
    <w:rsid w:val="00252810"/>
    <w:rsid w:val="002528CB"/>
    <w:rsid w:val="0025314E"/>
    <w:rsid w:val="002534AC"/>
    <w:rsid w:val="002537CF"/>
    <w:rsid w:val="00253846"/>
    <w:rsid w:val="00253E0C"/>
    <w:rsid w:val="00253FEC"/>
    <w:rsid w:val="00253FFC"/>
    <w:rsid w:val="00254289"/>
    <w:rsid w:val="002544B6"/>
    <w:rsid w:val="002578BE"/>
    <w:rsid w:val="00257F67"/>
    <w:rsid w:val="00257FF9"/>
    <w:rsid w:val="002604FD"/>
    <w:rsid w:val="002605A1"/>
    <w:rsid w:val="002607D3"/>
    <w:rsid w:val="002608D3"/>
    <w:rsid w:val="00260A7A"/>
    <w:rsid w:val="00260A8C"/>
    <w:rsid w:val="00260EE9"/>
    <w:rsid w:val="0026123D"/>
    <w:rsid w:val="00261E1D"/>
    <w:rsid w:val="00261EF7"/>
    <w:rsid w:val="002620F5"/>
    <w:rsid w:val="002622E9"/>
    <w:rsid w:val="002623B0"/>
    <w:rsid w:val="002624BD"/>
    <w:rsid w:val="002625FB"/>
    <w:rsid w:val="00262BE7"/>
    <w:rsid w:val="00262E1B"/>
    <w:rsid w:val="00262FE0"/>
    <w:rsid w:val="0026367C"/>
    <w:rsid w:val="00263858"/>
    <w:rsid w:val="00263B16"/>
    <w:rsid w:val="00263CDA"/>
    <w:rsid w:val="00263F86"/>
    <w:rsid w:val="00264299"/>
    <w:rsid w:val="0026430D"/>
    <w:rsid w:val="0026473B"/>
    <w:rsid w:val="00265422"/>
    <w:rsid w:val="0026549A"/>
    <w:rsid w:val="002654A2"/>
    <w:rsid w:val="002656B8"/>
    <w:rsid w:val="002656D4"/>
    <w:rsid w:val="00266714"/>
    <w:rsid w:val="0026674E"/>
    <w:rsid w:val="002667FF"/>
    <w:rsid w:val="0026692A"/>
    <w:rsid w:val="00266C71"/>
    <w:rsid w:val="00266CFC"/>
    <w:rsid w:val="00266F34"/>
    <w:rsid w:val="00266F72"/>
    <w:rsid w:val="00267084"/>
    <w:rsid w:val="002674D1"/>
    <w:rsid w:val="00267E33"/>
    <w:rsid w:val="002701E8"/>
    <w:rsid w:val="00270B13"/>
    <w:rsid w:val="00270CFF"/>
    <w:rsid w:val="00271054"/>
    <w:rsid w:val="0027151E"/>
    <w:rsid w:val="0027174E"/>
    <w:rsid w:val="002717E0"/>
    <w:rsid w:val="00271B4C"/>
    <w:rsid w:val="00271C95"/>
    <w:rsid w:val="00271FE7"/>
    <w:rsid w:val="0027209A"/>
    <w:rsid w:val="00272324"/>
    <w:rsid w:val="00272358"/>
    <w:rsid w:val="0027253E"/>
    <w:rsid w:val="00272574"/>
    <w:rsid w:val="00272E8A"/>
    <w:rsid w:val="00273786"/>
    <w:rsid w:val="00273B74"/>
    <w:rsid w:val="00273C5E"/>
    <w:rsid w:val="0027409F"/>
    <w:rsid w:val="002749A8"/>
    <w:rsid w:val="00274A7D"/>
    <w:rsid w:val="00274B21"/>
    <w:rsid w:val="00274B6E"/>
    <w:rsid w:val="00274E46"/>
    <w:rsid w:val="00275030"/>
    <w:rsid w:val="002757AD"/>
    <w:rsid w:val="002759C5"/>
    <w:rsid w:val="00275B6A"/>
    <w:rsid w:val="00275D4D"/>
    <w:rsid w:val="0027618E"/>
    <w:rsid w:val="002761BC"/>
    <w:rsid w:val="00276CCE"/>
    <w:rsid w:val="002771E8"/>
    <w:rsid w:val="002776F1"/>
    <w:rsid w:val="002778FA"/>
    <w:rsid w:val="00277BE9"/>
    <w:rsid w:val="00277C31"/>
    <w:rsid w:val="00277F35"/>
    <w:rsid w:val="00277F6F"/>
    <w:rsid w:val="0028052D"/>
    <w:rsid w:val="0028073E"/>
    <w:rsid w:val="002808EE"/>
    <w:rsid w:val="00280944"/>
    <w:rsid w:val="002810A9"/>
    <w:rsid w:val="002810E4"/>
    <w:rsid w:val="00281102"/>
    <w:rsid w:val="00281B50"/>
    <w:rsid w:val="00281F0C"/>
    <w:rsid w:val="00282520"/>
    <w:rsid w:val="00282622"/>
    <w:rsid w:val="00282683"/>
    <w:rsid w:val="002827BB"/>
    <w:rsid w:val="00282B30"/>
    <w:rsid w:val="00282F31"/>
    <w:rsid w:val="002834B8"/>
    <w:rsid w:val="00283DF1"/>
    <w:rsid w:val="002841FD"/>
    <w:rsid w:val="0028433F"/>
    <w:rsid w:val="0028464F"/>
    <w:rsid w:val="0028468C"/>
    <w:rsid w:val="00284865"/>
    <w:rsid w:val="00284C26"/>
    <w:rsid w:val="00284DA2"/>
    <w:rsid w:val="00284F80"/>
    <w:rsid w:val="0028553C"/>
    <w:rsid w:val="002856BC"/>
    <w:rsid w:val="00285C4C"/>
    <w:rsid w:val="00286003"/>
    <w:rsid w:val="00286111"/>
    <w:rsid w:val="00286269"/>
    <w:rsid w:val="002864EF"/>
    <w:rsid w:val="002867F0"/>
    <w:rsid w:val="002869F8"/>
    <w:rsid w:val="00286E63"/>
    <w:rsid w:val="00286E9F"/>
    <w:rsid w:val="00286EA3"/>
    <w:rsid w:val="00287587"/>
    <w:rsid w:val="002876B3"/>
    <w:rsid w:val="00287B92"/>
    <w:rsid w:val="00290854"/>
    <w:rsid w:val="00290AAC"/>
    <w:rsid w:val="00290B54"/>
    <w:rsid w:val="00290C0C"/>
    <w:rsid w:val="00290CDE"/>
    <w:rsid w:val="00290DD0"/>
    <w:rsid w:val="00290E3D"/>
    <w:rsid w:val="00291523"/>
    <w:rsid w:val="002919B4"/>
    <w:rsid w:val="002919E3"/>
    <w:rsid w:val="00291E37"/>
    <w:rsid w:val="00291FF1"/>
    <w:rsid w:val="00292083"/>
    <w:rsid w:val="00292595"/>
    <w:rsid w:val="0029262D"/>
    <w:rsid w:val="00292647"/>
    <w:rsid w:val="00292A88"/>
    <w:rsid w:val="00292BA1"/>
    <w:rsid w:val="00293437"/>
    <w:rsid w:val="002939CF"/>
    <w:rsid w:val="00293E32"/>
    <w:rsid w:val="00294039"/>
    <w:rsid w:val="002941AD"/>
    <w:rsid w:val="002942CB"/>
    <w:rsid w:val="0029450B"/>
    <w:rsid w:val="002948AC"/>
    <w:rsid w:val="002948D8"/>
    <w:rsid w:val="00294E00"/>
    <w:rsid w:val="00294EEC"/>
    <w:rsid w:val="002957F2"/>
    <w:rsid w:val="002959C3"/>
    <w:rsid w:val="002959C8"/>
    <w:rsid w:val="00295F04"/>
    <w:rsid w:val="00296386"/>
    <w:rsid w:val="00296463"/>
    <w:rsid w:val="00296ABF"/>
    <w:rsid w:val="00296B63"/>
    <w:rsid w:val="002970B4"/>
    <w:rsid w:val="00297614"/>
    <w:rsid w:val="00297742"/>
    <w:rsid w:val="00297DB4"/>
    <w:rsid w:val="00297DEC"/>
    <w:rsid w:val="002A007A"/>
    <w:rsid w:val="002A019E"/>
    <w:rsid w:val="002A06EC"/>
    <w:rsid w:val="002A073F"/>
    <w:rsid w:val="002A095B"/>
    <w:rsid w:val="002A1314"/>
    <w:rsid w:val="002A19C8"/>
    <w:rsid w:val="002A1F37"/>
    <w:rsid w:val="002A205F"/>
    <w:rsid w:val="002A232A"/>
    <w:rsid w:val="002A233C"/>
    <w:rsid w:val="002A2583"/>
    <w:rsid w:val="002A2ACB"/>
    <w:rsid w:val="002A2E19"/>
    <w:rsid w:val="002A2F35"/>
    <w:rsid w:val="002A3190"/>
    <w:rsid w:val="002A3821"/>
    <w:rsid w:val="002A38F4"/>
    <w:rsid w:val="002A3B09"/>
    <w:rsid w:val="002A3D4A"/>
    <w:rsid w:val="002A3E0F"/>
    <w:rsid w:val="002A42CF"/>
    <w:rsid w:val="002A42D5"/>
    <w:rsid w:val="002A48C0"/>
    <w:rsid w:val="002A49CF"/>
    <w:rsid w:val="002A5022"/>
    <w:rsid w:val="002A51BE"/>
    <w:rsid w:val="002A5BA6"/>
    <w:rsid w:val="002A5ECC"/>
    <w:rsid w:val="002A6620"/>
    <w:rsid w:val="002A6E54"/>
    <w:rsid w:val="002A714A"/>
    <w:rsid w:val="002A75B0"/>
    <w:rsid w:val="002A783F"/>
    <w:rsid w:val="002A7A02"/>
    <w:rsid w:val="002A7EA6"/>
    <w:rsid w:val="002B0614"/>
    <w:rsid w:val="002B06BC"/>
    <w:rsid w:val="002B0828"/>
    <w:rsid w:val="002B0843"/>
    <w:rsid w:val="002B0B8C"/>
    <w:rsid w:val="002B0BA9"/>
    <w:rsid w:val="002B1519"/>
    <w:rsid w:val="002B1B3A"/>
    <w:rsid w:val="002B1B87"/>
    <w:rsid w:val="002B1FCB"/>
    <w:rsid w:val="002B1FFE"/>
    <w:rsid w:val="002B2547"/>
    <w:rsid w:val="002B2FD4"/>
    <w:rsid w:val="002B3246"/>
    <w:rsid w:val="002B38F3"/>
    <w:rsid w:val="002B394A"/>
    <w:rsid w:val="002B3DCF"/>
    <w:rsid w:val="002B4029"/>
    <w:rsid w:val="002B42DC"/>
    <w:rsid w:val="002B4568"/>
    <w:rsid w:val="002B4767"/>
    <w:rsid w:val="002B4B29"/>
    <w:rsid w:val="002B4D36"/>
    <w:rsid w:val="002B5363"/>
    <w:rsid w:val="002B5BCB"/>
    <w:rsid w:val="002B62EA"/>
    <w:rsid w:val="002B6464"/>
    <w:rsid w:val="002B6C20"/>
    <w:rsid w:val="002B6C4F"/>
    <w:rsid w:val="002B7435"/>
    <w:rsid w:val="002B789A"/>
    <w:rsid w:val="002B7921"/>
    <w:rsid w:val="002B7EDE"/>
    <w:rsid w:val="002C03FB"/>
    <w:rsid w:val="002C04DA"/>
    <w:rsid w:val="002C11E8"/>
    <w:rsid w:val="002C1ABC"/>
    <w:rsid w:val="002C205E"/>
    <w:rsid w:val="002C2316"/>
    <w:rsid w:val="002C2395"/>
    <w:rsid w:val="002C27A5"/>
    <w:rsid w:val="002C2C86"/>
    <w:rsid w:val="002C2F09"/>
    <w:rsid w:val="002C303E"/>
    <w:rsid w:val="002C3220"/>
    <w:rsid w:val="002C324E"/>
    <w:rsid w:val="002C3794"/>
    <w:rsid w:val="002C39BA"/>
    <w:rsid w:val="002C3D95"/>
    <w:rsid w:val="002C3D9E"/>
    <w:rsid w:val="002C3E7B"/>
    <w:rsid w:val="002C3EB3"/>
    <w:rsid w:val="002C3FC2"/>
    <w:rsid w:val="002C427B"/>
    <w:rsid w:val="002C435C"/>
    <w:rsid w:val="002C5282"/>
    <w:rsid w:val="002C5A12"/>
    <w:rsid w:val="002C6312"/>
    <w:rsid w:val="002C6663"/>
    <w:rsid w:val="002C702A"/>
    <w:rsid w:val="002C716D"/>
    <w:rsid w:val="002C749F"/>
    <w:rsid w:val="002C7E02"/>
    <w:rsid w:val="002C7F53"/>
    <w:rsid w:val="002D0170"/>
    <w:rsid w:val="002D03D4"/>
    <w:rsid w:val="002D059B"/>
    <w:rsid w:val="002D0A0F"/>
    <w:rsid w:val="002D0F43"/>
    <w:rsid w:val="002D1027"/>
    <w:rsid w:val="002D11D1"/>
    <w:rsid w:val="002D12F0"/>
    <w:rsid w:val="002D14E9"/>
    <w:rsid w:val="002D18F3"/>
    <w:rsid w:val="002D1A65"/>
    <w:rsid w:val="002D1CED"/>
    <w:rsid w:val="002D1DC3"/>
    <w:rsid w:val="002D23D8"/>
    <w:rsid w:val="002D306D"/>
    <w:rsid w:val="002D30B2"/>
    <w:rsid w:val="002D319A"/>
    <w:rsid w:val="002D31F1"/>
    <w:rsid w:val="002D34DE"/>
    <w:rsid w:val="002D3D73"/>
    <w:rsid w:val="002D3EB2"/>
    <w:rsid w:val="002D4100"/>
    <w:rsid w:val="002D4600"/>
    <w:rsid w:val="002D4E89"/>
    <w:rsid w:val="002D5407"/>
    <w:rsid w:val="002D5903"/>
    <w:rsid w:val="002D5A28"/>
    <w:rsid w:val="002D5F2B"/>
    <w:rsid w:val="002D6475"/>
    <w:rsid w:val="002D64A0"/>
    <w:rsid w:val="002D6676"/>
    <w:rsid w:val="002D6811"/>
    <w:rsid w:val="002D69D2"/>
    <w:rsid w:val="002D6EF5"/>
    <w:rsid w:val="002D73A7"/>
    <w:rsid w:val="002D7402"/>
    <w:rsid w:val="002D7966"/>
    <w:rsid w:val="002D7D02"/>
    <w:rsid w:val="002D7D59"/>
    <w:rsid w:val="002E002B"/>
    <w:rsid w:val="002E0DC9"/>
    <w:rsid w:val="002E0DDF"/>
    <w:rsid w:val="002E1E15"/>
    <w:rsid w:val="002E2033"/>
    <w:rsid w:val="002E284E"/>
    <w:rsid w:val="002E2FC0"/>
    <w:rsid w:val="002E324A"/>
    <w:rsid w:val="002E3763"/>
    <w:rsid w:val="002E3A65"/>
    <w:rsid w:val="002E3A6F"/>
    <w:rsid w:val="002E3D72"/>
    <w:rsid w:val="002E3DEC"/>
    <w:rsid w:val="002E4972"/>
    <w:rsid w:val="002E4E7F"/>
    <w:rsid w:val="002E500E"/>
    <w:rsid w:val="002E548D"/>
    <w:rsid w:val="002E5523"/>
    <w:rsid w:val="002E554F"/>
    <w:rsid w:val="002E590B"/>
    <w:rsid w:val="002E5BAF"/>
    <w:rsid w:val="002E62BE"/>
    <w:rsid w:val="002E696D"/>
    <w:rsid w:val="002E6C52"/>
    <w:rsid w:val="002E6D74"/>
    <w:rsid w:val="002E6DB2"/>
    <w:rsid w:val="002E7126"/>
    <w:rsid w:val="002E737F"/>
    <w:rsid w:val="002E7834"/>
    <w:rsid w:val="002E7EAF"/>
    <w:rsid w:val="002E7FA6"/>
    <w:rsid w:val="002E7FF8"/>
    <w:rsid w:val="002F00CE"/>
    <w:rsid w:val="002F065C"/>
    <w:rsid w:val="002F068C"/>
    <w:rsid w:val="002F0877"/>
    <w:rsid w:val="002F0950"/>
    <w:rsid w:val="002F10A4"/>
    <w:rsid w:val="002F1684"/>
    <w:rsid w:val="002F1986"/>
    <w:rsid w:val="002F1A6A"/>
    <w:rsid w:val="002F1C3E"/>
    <w:rsid w:val="002F1F58"/>
    <w:rsid w:val="002F2030"/>
    <w:rsid w:val="002F2343"/>
    <w:rsid w:val="002F242A"/>
    <w:rsid w:val="002F2BB7"/>
    <w:rsid w:val="002F2CA9"/>
    <w:rsid w:val="002F3437"/>
    <w:rsid w:val="002F3494"/>
    <w:rsid w:val="002F3599"/>
    <w:rsid w:val="002F35F3"/>
    <w:rsid w:val="002F39C8"/>
    <w:rsid w:val="002F3F44"/>
    <w:rsid w:val="002F537A"/>
    <w:rsid w:val="002F6380"/>
    <w:rsid w:val="002F6928"/>
    <w:rsid w:val="002F6AE1"/>
    <w:rsid w:val="002F7108"/>
    <w:rsid w:val="0030020D"/>
    <w:rsid w:val="0030072F"/>
    <w:rsid w:val="00300837"/>
    <w:rsid w:val="003008A3"/>
    <w:rsid w:val="0030091A"/>
    <w:rsid w:val="00300EBC"/>
    <w:rsid w:val="00301238"/>
    <w:rsid w:val="00301257"/>
    <w:rsid w:val="0030176E"/>
    <w:rsid w:val="003018B9"/>
    <w:rsid w:val="00302040"/>
    <w:rsid w:val="00302A00"/>
    <w:rsid w:val="00302C7E"/>
    <w:rsid w:val="00302E26"/>
    <w:rsid w:val="00303186"/>
    <w:rsid w:val="003033F5"/>
    <w:rsid w:val="00303B17"/>
    <w:rsid w:val="00304006"/>
    <w:rsid w:val="0030420B"/>
    <w:rsid w:val="00304627"/>
    <w:rsid w:val="00304870"/>
    <w:rsid w:val="00304983"/>
    <w:rsid w:val="00304C9D"/>
    <w:rsid w:val="00304E8E"/>
    <w:rsid w:val="00305042"/>
    <w:rsid w:val="003053C5"/>
    <w:rsid w:val="0030562E"/>
    <w:rsid w:val="003056B0"/>
    <w:rsid w:val="00306443"/>
    <w:rsid w:val="0030648D"/>
    <w:rsid w:val="00306B54"/>
    <w:rsid w:val="00306F11"/>
    <w:rsid w:val="00307059"/>
    <w:rsid w:val="00307065"/>
    <w:rsid w:val="0030716C"/>
    <w:rsid w:val="0030750A"/>
    <w:rsid w:val="00307838"/>
    <w:rsid w:val="00307AAE"/>
    <w:rsid w:val="003104CB"/>
    <w:rsid w:val="003107F2"/>
    <w:rsid w:val="003109C9"/>
    <w:rsid w:val="00310A19"/>
    <w:rsid w:val="00310AE8"/>
    <w:rsid w:val="00310C13"/>
    <w:rsid w:val="0031104A"/>
    <w:rsid w:val="003110C3"/>
    <w:rsid w:val="00311239"/>
    <w:rsid w:val="003112B2"/>
    <w:rsid w:val="00311765"/>
    <w:rsid w:val="00311935"/>
    <w:rsid w:val="00311950"/>
    <w:rsid w:val="00311991"/>
    <w:rsid w:val="00311CAA"/>
    <w:rsid w:val="00311DC1"/>
    <w:rsid w:val="00312097"/>
    <w:rsid w:val="0031262B"/>
    <w:rsid w:val="0031294B"/>
    <w:rsid w:val="00312C18"/>
    <w:rsid w:val="0031336E"/>
    <w:rsid w:val="00313440"/>
    <w:rsid w:val="00313587"/>
    <w:rsid w:val="0031404E"/>
    <w:rsid w:val="00314422"/>
    <w:rsid w:val="0031479E"/>
    <w:rsid w:val="003147AB"/>
    <w:rsid w:val="0031482F"/>
    <w:rsid w:val="0031492A"/>
    <w:rsid w:val="003149E9"/>
    <w:rsid w:val="00314CED"/>
    <w:rsid w:val="00314CF9"/>
    <w:rsid w:val="003159A9"/>
    <w:rsid w:val="00315A97"/>
    <w:rsid w:val="003166AA"/>
    <w:rsid w:val="00316A8D"/>
    <w:rsid w:val="00317A56"/>
    <w:rsid w:val="00317AA2"/>
    <w:rsid w:val="00320060"/>
    <w:rsid w:val="00320DF7"/>
    <w:rsid w:val="003215CA"/>
    <w:rsid w:val="003216CF"/>
    <w:rsid w:val="003218A3"/>
    <w:rsid w:val="00321EFC"/>
    <w:rsid w:val="0032208B"/>
    <w:rsid w:val="00322341"/>
    <w:rsid w:val="00322D38"/>
    <w:rsid w:val="00322E33"/>
    <w:rsid w:val="00322FBF"/>
    <w:rsid w:val="00323235"/>
    <w:rsid w:val="003236EC"/>
    <w:rsid w:val="00323C86"/>
    <w:rsid w:val="00324016"/>
    <w:rsid w:val="00324351"/>
    <w:rsid w:val="0032463D"/>
    <w:rsid w:val="0032468D"/>
    <w:rsid w:val="00324806"/>
    <w:rsid w:val="003252C5"/>
    <w:rsid w:val="00325703"/>
    <w:rsid w:val="0032585F"/>
    <w:rsid w:val="003259A2"/>
    <w:rsid w:val="00325F1C"/>
    <w:rsid w:val="0032615D"/>
    <w:rsid w:val="00326244"/>
    <w:rsid w:val="00326324"/>
    <w:rsid w:val="00326632"/>
    <w:rsid w:val="0032688B"/>
    <w:rsid w:val="00326990"/>
    <w:rsid w:val="00327073"/>
    <w:rsid w:val="00327082"/>
    <w:rsid w:val="003270EB"/>
    <w:rsid w:val="0032712E"/>
    <w:rsid w:val="003274A2"/>
    <w:rsid w:val="00327859"/>
    <w:rsid w:val="00327A26"/>
    <w:rsid w:val="00327F4C"/>
    <w:rsid w:val="00330AF0"/>
    <w:rsid w:val="0033139A"/>
    <w:rsid w:val="003314F3"/>
    <w:rsid w:val="003315D1"/>
    <w:rsid w:val="00331A43"/>
    <w:rsid w:val="0033208F"/>
    <w:rsid w:val="003322B5"/>
    <w:rsid w:val="0033270F"/>
    <w:rsid w:val="003329B4"/>
    <w:rsid w:val="00332CED"/>
    <w:rsid w:val="00332E58"/>
    <w:rsid w:val="003336F8"/>
    <w:rsid w:val="00333AE0"/>
    <w:rsid w:val="00333BC2"/>
    <w:rsid w:val="00333FE7"/>
    <w:rsid w:val="0033473F"/>
    <w:rsid w:val="003350B6"/>
    <w:rsid w:val="003356A2"/>
    <w:rsid w:val="00335914"/>
    <w:rsid w:val="00335BC0"/>
    <w:rsid w:val="00336722"/>
    <w:rsid w:val="00336AAF"/>
    <w:rsid w:val="00337594"/>
    <w:rsid w:val="003375F9"/>
    <w:rsid w:val="00337B40"/>
    <w:rsid w:val="00337CCB"/>
    <w:rsid w:val="0034004B"/>
    <w:rsid w:val="0034034F"/>
    <w:rsid w:val="00340A0A"/>
    <w:rsid w:val="00340D35"/>
    <w:rsid w:val="00340D86"/>
    <w:rsid w:val="00340EA9"/>
    <w:rsid w:val="00341C7C"/>
    <w:rsid w:val="00341EA4"/>
    <w:rsid w:val="00342B64"/>
    <w:rsid w:val="00342BC2"/>
    <w:rsid w:val="00342F2D"/>
    <w:rsid w:val="003436EB"/>
    <w:rsid w:val="003439BF"/>
    <w:rsid w:val="00343C3A"/>
    <w:rsid w:val="00343C55"/>
    <w:rsid w:val="00343D90"/>
    <w:rsid w:val="00343E48"/>
    <w:rsid w:val="00343FD6"/>
    <w:rsid w:val="003440B8"/>
    <w:rsid w:val="00345230"/>
    <w:rsid w:val="0034528C"/>
    <w:rsid w:val="0034541A"/>
    <w:rsid w:val="00345565"/>
    <w:rsid w:val="003456B2"/>
    <w:rsid w:val="00345919"/>
    <w:rsid w:val="00345AD0"/>
    <w:rsid w:val="00345FBD"/>
    <w:rsid w:val="00346120"/>
    <w:rsid w:val="003462F8"/>
    <w:rsid w:val="00346F69"/>
    <w:rsid w:val="003470DF"/>
    <w:rsid w:val="003472A4"/>
    <w:rsid w:val="00347703"/>
    <w:rsid w:val="00347731"/>
    <w:rsid w:val="00347F19"/>
    <w:rsid w:val="003500D9"/>
    <w:rsid w:val="003501E1"/>
    <w:rsid w:val="00350710"/>
    <w:rsid w:val="0035075A"/>
    <w:rsid w:val="00350A08"/>
    <w:rsid w:val="00350E66"/>
    <w:rsid w:val="00351017"/>
    <w:rsid w:val="00351249"/>
    <w:rsid w:val="0035139D"/>
    <w:rsid w:val="00351961"/>
    <w:rsid w:val="00352298"/>
    <w:rsid w:val="00352F19"/>
    <w:rsid w:val="003530C8"/>
    <w:rsid w:val="00353B9B"/>
    <w:rsid w:val="00354798"/>
    <w:rsid w:val="0035491D"/>
    <w:rsid w:val="00354B51"/>
    <w:rsid w:val="00354D26"/>
    <w:rsid w:val="00354D9A"/>
    <w:rsid w:val="00354E4A"/>
    <w:rsid w:val="00354F5F"/>
    <w:rsid w:val="00355359"/>
    <w:rsid w:val="00355EF2"/>
    <w:rsid w:val="00356261"/>
    <w:rsid w:val="00356525"/>
    <w:rsid w:val="003567F9"/>
    <w:rsid w:val="003569BF"/>
    <w:rsid w:val="00356EB8"/>
    <w:rsid w:val="003577FA"/>
    <w:rsid w:val="00357C09"/>
    <w:rsid w:val="00360335"/>
    <w:rsid w:val="0036066F"/>
    <w:rsid w:val="0036106B"/>
    <w:rsid w:val="003610B9"/>
    <w:rsid w:val="00361A45"/>
    <w:rsid w:val="00361D28"/>
    <w:rsid w:val="00361EAB"/>
    <w:rsid w:val="00361F13"/>
    <w:rsid w:val="00362B40"/>
    <w:rsid w:val="00363380"/>
    <w:rsid w:val="0036374C"/>
    <w:rsid w:val="00363B24"/>
    <w:rsid w:val="00363D5B"/>
    <w:rsid w:val="00363DE3"/>
    <w:rsid w:val="00363E9E"/>
    <w:rsid w:val="003646AB"/>
    <w:rsid w:val="00364A41"/>
    <w:rsid w:val="0036511D"/>
    <w:rsid w:val="00365906"/>
    <w:rsid w:val="00365CD3"/>
    <w:rsid w:val="00366969"/>
    <w:rsid w:val="0036713D"/>
    <w:rsid w:val="00367AC3"/>
    <w:rsid w:val="00367C92"/>
    <w:rsid w:val="00367FEC"/>
    <w:rsid w:val="003701EA"/>
    <w:rsid w:val="00370AEF"/>
    <w:rsid w:val="00370CE8"/>
    <w:rsid w:val="00370D20"/>
    <w:rsid w:val="00371059"/>
    <w:rsid w:val="003718E8"/>
    <w:rsid w:val="0037198D"/>
    <w:rsid w:val="00371D5A"/>
    <w:rsid w:val="00371DAC"/>
    <w:rsid w:val="00371F23"/>
    <w:rsid w:val="0037200C"/>
    <w:rsid w:val="0037214F"/>
    <w:rsid w:val="00372201"/>
    <w:rsid w:val="003723AA"/>
    <w:rsid w:val="003726BB"/>
    <w:rsid w:val="003728ED"/>
    <w:rsid w:val="00372A8D"/>
    <w:rsid w:val="00372C2C"/>
    <w:rsid w:val="00372D52"/>
    <w:rsid w:val="00373017"/>
    <w:rsid w:val="003731EB"/>
    <w:rsid w:val="003732C0"/>
    <w:rsid w:val="003735FE"/>
    <w:rsid w:val="00373637"/>
    <w:rsid w:val="00373A75"/>
    <w:rsid w:val="00373E09"/>
    <w:rsid w:val="00374172"/>
    <w:rsid w:val="00374400"/>
    <w:rsid w:val="00374DFF"/>
    <w:rsid w:val="00375646"/>
    <w:rsid w:val="00375B5D"/>
    <w:rsid w:val="00375CB5"/>
    <w:rsid w:val="00375E90"/>
    <w:rsid w:val="003760A4"/>
    <w:rsid w:val="00376688"/>
    <w:rsid w:val="00376C4A"/>
    <w:rsid w:val="00376D95"/>
    <w:rsid w:val="003776F8"/>
    <w:rsid w:val="00377760"/>
    <w:rsid w:val="00377E7F"/>
    <w:rsid w:val="0038055C"/>
    <w:rsid w:val="00380722"/>
    <w:rsid w:val="0038093F"/>
    <w:rsid w:val="00380AC1"/>
    <w:rsid w:val="00380C1A"/>
    <w:rsid w:val="00380E64"/>
    <w:rsid w:val="00380F92"/>
    <w:rsid w:val="00381158"/>
    <w:rsid w:val="00381321"/>
    <w:rsid w:val="00381C17"/>
    <w:rsid w:val="00381DBC"/>
    <w:rsid w:val="00382422"/>
    <w:rsid w:val="0038252A"/>
    <w:rsid w:val="00382B63"/>
    <w:rsid w:val="00383420"/>
    <w:rsid w:val="003834E4"/>
    <w:rsid w:val="0038365A"/>
    <w:rsid w:val="00383791"/>
    <w:rsid w:val="00383E0A"/>
    <w:rsid w:val="00384143"/>
    <w:rsid w:val="003848D2"/>
    <w:rsid w:val="00384B14"/>
    <w:rsid w:val="00384E14"/>
    <w:rsid w:val="0038548E"/>
    <w:rsid w:val="00385736"/>
    <w:rsid w:val="00385771"/>
    <w:rsid w:val="00385913"/>
    <w:rsid w:val="00385BB8"/>
    <w:rsid w:val="003864CC"/>
    <w:rsid w:val="0038660B"/>
    <w:rsid w:val="00386629"/>
    <w:rsid w:val="00387071"/>
    <w:rsid w:val="003870A6"/>
    <w:rsid w:val="0038728A"/>
    <w:rsid w:val="00387731"/>
    <w:rsid w:val="00387BE4"/>
    <w:rsid w:val="00387C70"/>
    <w:rsid w:val="0039005F"/>
    <w:rsid w:val="0039009F"/>
    <w:rsid w:val="0039042C"/>
    <w:rsid w:val="00390564"/>
    <w:rsid w:val="00390A64"/>
    <w:rsid w:val="00390F7F"/>
    <w:rsid w:val="00391540"/>
    <w:rsid w:val="00391698"/>
    <w:rsid w:val="003916C6"/>
    <w:rsid w:val="00391881"/>
    <w:rsid w:val="00391C0F"/>
    <w:rsid w:val="003922DA"/>
    <w:rsid w:val="0039250F"/>
    <w:rsid w:val="003928C9"/>
    <w:rsid w:val="003933E7"/>
    <w:rsid w:val="003935BC"/>
    <w:rsid w:val="0039374D"/>
    <w:rsid w:val="00393D18"/>
    <w:rsid w:val="00394655"/>
    <w:rsid w:val="003949E5"/>
    <w:rsid w:val="00394C27"/>
    <w:rsid w:val="00394EE2"/>
    <w:rsid w:val="00395B0A"/>
    <w:rsid w:val="00395CAF"/>
    <w:rsid w:val="00395EE9"/>
    <w:rsid w:val="003963E8"/>
    <w:rsid w:val="00396578"/>
    <w:rsid w:val="00396679"/>
    <w:rsid w:val="00396819"/>
    <w:rsid w:val="003968DD"/>
    <w:rsid w:val="0039736D"/>
    <w:rsid w:val="003975F9"/>
    <w:rsid w:val="00397670"/>
    <w:rsid w:val="00397841"/>
    <w:rsid w:val="00397BB8"/>
    <w:rsid w:val="00397FDE"/>
    <w:rsid w:val="003A0433"/>
    <w:rsid w:val="003A053B"/>
    <w:rsid w:val="003A0783"/>
    <w:rsid w:val="003A09E6"/>
    <w:rsid w:val="003A0D22"/>
    <w:rsid w:val="003A0D3E"/>
    <w:rsid w:val="003A0F1F"/>
    <w:rsid w:val="003A0F52"/>
    <w:rsid w:val="003A10D3"/>
    <w:rsid w:val="003A14A1"/>
    <w:rsid w:val="003A158A"/>
    <w:rsid w:val="003A18DB"/>
    <w:rsid w:val="003A1B74"/>
    <w:rsid w:val="003A24A0"/>
    <w:rsid w:val="003A2F8A"/>
    <w:rsid w:val="003A2FDD"/>
    <w:rsid w:val="003A309A"/>
    <w:rsid w:val="003A3215"/>
    <w:rsid w:val="003A3957"/>
    <w:rsid w:val="003A4655"/>
    <w:rsid w:val="003A472B"/>
    <w:rsid w:val="003A4813"/>
    <w:rsid w:val="003A4852"/>
    <w:rsid w:val="003A4976"/>
    <w:rsid w:val="003A4EBF"/>
    <w:rsid w:val="003A5119"/>
    <w:rsid w:val="003A52B4"/>
    <w:rsid w:val="003A5739"/>
    <w:rsid w:val="003A5950"/>
    <w:rsid w:val="003A5A4C"/>
    <w:rsid w:val="003A5AF2"/>
    <w:rsid w:val="003A6743"/>
    <w:rsid w:val="003A68FB"/>
    <w:rsid w:val="003A6D35"/>
    <w:rsid w:val="003A760B"/>
    <w:rsid w:val="003A7B1E"/>
    <w:rsid w:val="003A7C30"/>
    <w:rsid w:val="003A7E1E"/>
    <w:rsid w:val="003A7EA2"/>
    <w:rsid w:val="003B0237"/>
    <w:rsid w:val="003B02C3"/>
    <w:rsid w:val="003B10F9"/>
    <w:rsid w:val="003B13C0"/>
    <w:rsid w:val="003B13DD"/>
    <w:rsid w:val="003B1539"/>
    <w:rsid w:val="003B1A5E"/>
    <w:rsid w:val="003B1F2E"/>
    <w:rsid w:val="003B249C"/>
    <w:rsid w:val="003B2584"/>
    <w:rsid w:val="003B2587"/>
    <w:rsid w:val="003B2767"/>
    <w:rsid w:val="003B2CE3"/>
    <w:rsid w:val="003B32A2"/>
    <w:rsid w:val="003B34D4"/>
    <w:rsid w:val="003B3916"/>
    <w:rsid w:val="003B3C7C"/>
    <w:rsid w:val="003B3F2E"/>
    <w:rsid w:val="003B41D7"/>
    <w:rsid w:val="003B45CE"/>
    <w:rsid w:val="003B46D1"/>
    <w:rsid w:val="003B4C5B"/>
    <w:rsid w:val="003B4CB4"/>
    <w:rsid w:val="003B4E43"/>
    <w:rsid w:val="003B54AB"/>
    <w:rsid w:val="003B5897"/>
    <w:rsid w:val="003B5A9C"/>
    <w:rsid w:val="003B5EB4"/>
    <w:rsid w:val="003B64C7"/>
    <w:rsid w:val="003B6C56"/>
    <w:rsid w:val="003B73D6"/>
    <w:rsid w:val="003B7C49"/>
    <w:rsid w:val="003B7F03"/>
    <w:rsid w:val="003C011B"/>
    <w:rsid w:val="003C09AB"/>
    <w:rsid w:val="003C0D73"/>
    <w:rsid w:val="003C1250"/>
    <w:rsid w:val="003C2255"/>
    <w:rsid w:val="003C2257"/>
    <w:rsid w:val="003C229A"/>
    <w:rsid w:val="003C2374"/>
    <w:rsid w:val="003C255B"/>
    <w:rsid w:val="003C2754"/>
    <w:rsid w:val="003C27F1"/>
    <w:rsid w:val="003C2B6D"/>
    <w:rsid w:val="003C2D11"/>
    <w:rsid w:val="003C2F68"/>
    <w:rsid w:val="003C3088"/>
    <w:rsid w:val="003C34D4"/>
    <w:rsid w:val="003C3672"/>
    <w:rsid w:val="003C3815"/>
    <w:rsid w:val="003C4028"/>
    <w:rsid w:val="003C4652"/>
    <w:rsid w:val="003C4A25"/>
    <w:rsid w:val="003C4C45"/>
    <w:rsid w:val="003C5479"/>
    <w:rsid w:val="003C5A84"/>
    <w:rsid w:val="003C6D6C"/>
    <w:rsid w:val="003C6FD6"/>
    <w:rsid w:val="003C716D"/>
    <w:rsid w:val="003C730A"/>
    <w:rsid w:val="003C7502"/>
    <w:rsid w:val="003C7773"/>
    <w:rsid w:val="003C791C"/>
    <w:rsid w:val="003C7D28"/>
    <w:rsid w:val="003C7D38"/>
    <w:rsid w:val="003C7F46"/>
    <w:rsid w:val="003D03CC"/>
    <w:rsid w:val="003D078A"/>
    <w:rsid w:val="003D0A05"/>
    <w:rsid w:val="003D0D8F"/>
    <w:rsid w:val="003D1252"/>
    <w:rsid w:val="003D138C"/>
    <w:rsid w:val="003D1972"/>
    <w:rsid w:val="003D207D"/>
    <w:rsid w:val="003D21C7"/>
    <w:rsid w:val="003D22FD"/>
    <w:rsid w:val="003D313B"/>
    <w:rsid w:val="003D3D66"/>
    <w:rsid w:val="003D454F"/>
    <w:rsid w:val="003D4734"/>
    <w:rsid w:val="003D4BEE"/>
    <w:rsid w:val="003D4C09"/>
    <w:rsid w:val="003D4FAE"/>
    <w:rsid w:val="003D50E3"/>
    <w:rsid w:val="003D53B8"/>
    <w:rsid w:val="003D570E"/>
    <w:rsid w:val="003D5C37"/>
    <w:rsid w:val="003D5F88"/>
    <w:rsid w:val="003D6B28"/>
    <w:rsid w:val="003D7002"/>
    <w:rsid w:val="003D75CF"/>
    <w:rsid w:val="003D7A21"/>
    <w:rsid w:val="003D7FEA"/>
    <w:rsid w:val="003E00B1"/>
    <w:rsid w:val="003E01A0"/>
    <w:rsid w:val="003E0425"/>
    <w:rsid w:val="003E0657"/>
    <w:rsid w:val="003E06F8"/>
    <w:rsid w:val="003E0927"/>
    <w:rsid w:val="003E1134"/>
    <w:rsid w:val="003E14C3"/>
    <w:rsid w:val="003E1C0B"/>
    <w:rsid w:val="003E1D64"/>
    <w:rsid w:val="003E1D97"/>
    <w:rsid w:val="003E208C"/>
    <w:rsid w:val="003E22DD"/>
    <w:rsid w:val="003E2310"/>
    <w:rsid w:val="003E28DD"/>
    <w:rsid w:val="003E2B3D"/>
    <w:rsid w:val="003E2C5E"/>
    <w:rsid w:val="003E2E57"/>
    <w:rsid w:val="003E2EFD"/>
    <w:rsid w:val="003E3725"/>
    <w:rsid w:val="003E3802"/>
    <w:rsid w:val="003E3A57"/>
    <w:rsid w:val="003E3DCB"/>
    <w:rsid w:val="003E45F8"/>
    <w:rsid w:val="003E4826"/>
    <w:rsid w:val="003E4975"/>
    <w:rsid w:val="003E4B16"/>
    <w:rsid w:val="003E5097"/>
    <w:rsid w:val="003E5137"/>
    <w:rsid w:val="003E52A2"/>
    <w:rsid w:val="003E55B2"/>
    <w:rsid w:val="003E5E8D"/>
    <w:rsid w:val="003E5F72"/>
    <w:rsid w:val="003E605A"/>
    <w:rsid w:val="003E64AF"/>
    <w:rsid w:val="003E667E"/>
    <w:rsid w:val="003E6F58"/>
    <w:rsid w:val="003E6F65"/>
    <w:rsid w:val="003E717F"/>
    <w:rsid w:val="003E77D9"/>
    <w:rsid w:val="003E7824"/>
    <w:rsid w:val="003E7930"/>
    <w:rsid w:val="003E797C"/>
    <w:rsid w:val="003F0008"/>
    <w:rsid w:val="003F0106"/>
    <w:rsid w:val="003F023A"/>
    <w:rsid w:val="003F0394"/>
    <w:rsid w:val="003F03F9"/>
    <w:rsid w:val="003F04B2"/>
    <w:rsid w:val="003F1254"/>
    <w:rsid w:val="003F1B8A"/>
    <w:rsid w:val="003F20FE"/>
    <w:rsid w:val="003F30B8"/>
    <w:rsid w:val="003F3589"/>
    <w:rsid w:val="003F3DC3"/>
    <w:rsid w:val="003F3FA6"/>
    <w:rsid w:val="003F44E8"/>
    <w:rsid w:val="003F46B7"/>
    <w:rsid w:val="003F4A68"/>
    <w:rsid w:val="003F4E18"/>
    <w:rsid w:val="003F511A"/>
    <w:rsid w:val="003F5381"/>
    <w:rsid w:val="003F53B2"/>
    <w:rsid w:val="003F556D"/>
    <w:rsid w:val="003F5C95"/>
    <w:rsid w:val="003F5DD2"/>
    <w:rsid w:val="003F5EC3"/>
    <w:rsid w:val="003F5F51"/>
    <w:rsid w:val="003F604C"/>
    <w:rsid w:val="003F6237"/>
    <w:rsid w:val="003F73F3"/>
    <w:rsid w:val="003F74E7"/>
    <w:rsid w:val="00400173"/>
    <w:rsid w:val="00400309"/>
    <w:rsid w:val="0040047A"/>
    <w:rsid w:val="00400BA0"/>
    <w:rsid w:val="00400D04"/>
    <w:rsid w:val="00400D4D"/>
    <w:rsid w:val="004010E2"/>
    <w:rsid w:val="00401391"/>
    <w:rsid w:val="004019FE"/>
    <w:rsid w:val="00401A0F"/>
    <w:rsid w:val="00401D48"/>
    <w:rsid w:val="004020DD"/>
    <w:rsid w:val="0040210F"/>
    <w:rsid w:val="0040248C"/>
    <w:rsid w:val="0040249C"/>
    <w:rsid w:val="00402CAD"/>
    <w:rsid w:val="00403084"/>
    <w:rsid w:val="004034EE"/>
    <w:rsid w:val="0040381D"/>
    <w:rsid w:val="00403B22"/>
    <w:rsid w:val="004040CF"/>
    <w:rsid w:val="00404632"/>
    <w:rsid w:val="00405B97"/>
    <w:rsid w:val="0040613F"/>
    <w:rsid w:val="00406580"/>
    <w:rsid w:val="004065DF"/>
    <w:rsid w:val="00406D52"/>
    <w:rsid w:val="00406D7C"/>
    <w:rsid w:val="00406F97"/>
    <w:rsid w:val="00407109"/>
    <w:rsid w:val="00407A97"/>
    <w:rsid w:val="00407C08"/>
    <w:rsid w:val="00407EF7"/>
    <w:rsid w:val="00407FCD"/>
    <w:rsid w:val="00410572"/>
    <w:rsid w:val="00410796"/>
    <w:rsid w:val="004112BF"/>
    <w:rsid w:val="004112DA"/>
    <w:rsid w:val="00411746"/>
    <w:rsid w:val="00411837"/>
    <w:rsid w:val="00411DA6"/>
    <w:rsid w:val="00412435"/>
    <w:rsid w:val="004130AB"/>
    <w:rsid w:val="0041375D"/>
    <w:rsid w:val="004143AD"/>
    <w:rsid w:val="0041472C"/>
    <w:rsid w:val="0041522C"/>
    <w:rsid w:val="004152B4"/>
    <w:rsid w:val="00415434"/>
    <w:rsid w:val="00415469"/>
    <w:rsid w:val="00415663"/>
    <w:rsid w:val="004156CF"/>
    <w:rsid w:val="00415B6B"/>
    <w:rsid w:val="00415BF7"/>
    <w:rsid w:val="00416310"/>
    <w:rsid w:val="0041634D"/>
    <w:rsid w:val="0041656E"/>
    <w:rsid w:val="00416AD2"/>
    <w:rsid w:val="00416B7E"/>
    <w:rsid w:val="00416E1A"/>
    <w:rsid w:val="00416E30"/>
    <w:rsid w:val="00420068"/>
    <w:rsid w:val="004208CF"/>
    <w:rsid w:val="00420BF6"/>
    <w:rsid w:val="00420BF8"/>
    <w:rsid w:val="00421910"/>
    <w:rsid w:val="00422673"/>
    <w:rsid w:val="004227C1"/>
    <w:rsid w:val="00422AF2"/>
    <w:rsid w:val="00423116"/>
    <w:rsid w:val="00423688"/>
    <w:rsid w:val="00423C7A"/>
    <w:rsid w:val="00423CD0"/>
    <w:rsid w:val="00423F7F"/>
    <w:rsid w:val="004249A5"/>
    <w:rsid w:val="00424CC6"/>
    <w:rsid w:val="00424DFC"/>
    <w:rsid w:val="00424E8C"/>
    <w:rsid w:val="004251C6"/>
    <w:rsid w:val="0042556F"/>
    <w:rsid w:val="004255DD"/>
    <w:rsid w:val="004259F3"/>
    <w:rsid w:val="00425AA3"/>
    <w:rsid w:val="00425BD6"/>
    <w:rsid w:val="00425C20"/>
    <w:rsid w:val="00426275"/>
    <w:rsid w:val="004271EE"/>
    <w:rsid w:val="004274D1"/>
    <w:rsid w:val="004276B1"/>
    <w:rsid w:val="004276EB"/>
    <w:rsid w:val="004276F7"/>
    <w:rsid w:val="00427EE2"/>
    <w:rsid w:val="00430772"/>
    <w:rsid w:val="00430D4A"/>
    <w:rsid w:val="004310F0"/>
    <w:rsid w:val="00431140"/>
    <w:rsid w:val="00431BAF"/>
    <w:rsid w:val="00431F15"/>
    <w:rsid w:val="00431FBE"/>
    <w:rsid w:val="004323B1"/>
    <w:rsid w:val="00432708"/>
    <w:rsid w:val="0043305E"/>
    <w:rsid w:val="00433273"/>
    <w:rsid w:val="00433281"/>
    <w:rsid w:val="00433546"/>
    <w:rsid w:val="0043383E"/>
    <w:rsid w:val="004339DA"/>
    <w:rsid w:val="00433AAA"/>
    <w:rsid w:val="00434B14"/>
    <w:rsid w:val="00434B66"/>
    <w:rsid w:val="004358DC"/>
    <w:rsid w:val="00435CC1"/>
    <w:rsid w:val="00435DD8"/>
    <w:rsid w:val="004364AB"/>
    <w:rsid w:val="004364CB"/>
    <w:rsid w:val="00436991"/>
    <w:rsid w:val="00436FC0"/>
    <w:rsid w:val="0043703F"/>
    <w:rsid w:val="0043758D"/>
    <w:rsid w:val="00437C92"/>
    <w:rsid w:val="00437DAA"/>
    <w:rsid w:val="0044028B"/>
    <w:rsid w:val="004403B5"/>
    <w:rsid w:val="004405FD"/>
    <w:rsid w:val="0044060F"/>
    <w:rsid w:val="00440861"/>
    <w:rsid w:val="004408AB"/>
    <w:rsid w:val="0044095E"/>
    <w:rsid w:val="0044147A"/>
    <w:rsid w:val="004417B8"/>
    <w:rsid w:val="004418FF"/>
    <w:rsid w:val="00442076"/>
    <w:rsid w:val="004422E1"/>
    <w:rsid w:val="004423CD"/>
    <w:rsid w:val="004425D1"/>
    <w:rsid w:val="00442881"/>
    <w:rsid w:val="00442A9D"/>
    <w:rsid w:val="00442B2D"/>
    <w:rsid w:val="0044301F"/>
    <w:rsid w:val="00443184"/>
    <w:rsid w:val="004437C5"/>
    <w:rsid w:val="00443958"/>
    <w:rsid w:val="0044403C"/>
    <w:rsid w:val="00444272"/>
    <w:rsid w:val="00444CD2"/>
    <w:rsid w:val="00444D6A"/>
    <w:rsid w:val="00444D7B"/>
    <w:rsid w:val="00444F6C"/>
    <w:rsid w:val="00445011"/>
    <w:rsid w:val="004456C9"/>
    <w:rsid w:val="004458B4"/>
    <w:rsid w:val="00445A06"/>
    <w:rsid w:val="00445AEE"/>
    <w:rsid w:val="00445BE4"/>
    <w:rsid w:val="00445D34"/>
    <w:rsid w:val="00445F96"/>
    <w:rsid w:val="0044605E"/>
    <w:rsid w:val="00446174"/>
    <w:rsid w:val="004461E4"/>
    <w:rsid w:val="00446981"/>
    <w:rsid w:val="00446E48"/>
    <w:rsid w:val="00447238"/>
    <w:rsid w:val="004476BE"/>
    <w:rsid w:val="00447C32"/>
    <w:rsid w:val="004506FE"/>
    <w:rsid w:val="004512FD"/>
    <w:rsid w:val="0045184E"/>
    <w:rsid w:val="00451906"/>
    <w:rsid w:val="00451B8E"/>
    <w:rsid w:val="00451F52"/>
    <w:rsid w:val="004523E4"/>
    <w:rsid w:val="00452776"/>
    <w:rsid w:val="004528C5"/>
    <w:rsid w:val="00453165"/>
    <w:rsid w:val="0045378B"/>
    <w:rsid w:val="00453992"/>
    <w:rsid w:val="00453B18"/>
    <w:rsid w:val="00453D94"/>
    <w:rsid w:val="00453E5B"/>
    <w:rsid w:val="004548E9"/>
    <w:rsid w:val="004553AD"/>
    <w:rsid w:val="004553D2"/>
    <w:rsid w:val="00455455"/>
    <w:rsid w:val="004554EC"/>
    <w:rsid w:val="004555D8"/>
    <w:rsid w:val="004559EF"/>
    <w:rsid w:val="00455A7C"/>
    <w:rsid w:val="00455EBA"/>
    <w:rsid w:val="00456145"/>
    <w:rsid w:val="004566BB"/>
    <w:rsid w:val="00456928"/>
    <w:rsid w:val="004570D0"/>
    <w:rsid w:val="0045784E"/>
    <w:rsid w:val="00457B85"/>
    <w:rsid w:val="00460437"/>
    <w:rsid w:val="00460DFE"/>
    <w:rsid w:val="0046119E"/>
    <w:rsid w:val="00461BA1"/>
    <w:rsid w:val="00461C8C"/>
    <w:rsid w:val="004620EE"/>
    <w:rsid w:val="00462279"/>
    <w:rsid w:val="00462888"/>
    <w:rsid w:val="00463124"/>
    <w:rsid w:val="004633BF"/>
    <w:rsid w:val="00463498"/>
    <w:rsid w:val="004634B7"/>
    <w:rsid w:val="004637DD"/>
    <w:rsid w:val="00463837"/>
    <w:rsid w:val="00463B80"/>
    <w:rsid w:val="0046407D"/>
    <w:rsid w:val="00464463"/>
    <w:rsid w:val="0046502A"/>
    <w:rsid w:val="00465287"/>
    <w:rsid w:val="00465377"/>
    <w:rsid w:val="00465D49"/>
    <w:rsid w:val="00466362"/>
    <w:rsid w:val="00466470"/>
    <w:rsid w:val="00466898"/>
    <w:rsid w:val="004668DE"/>
    <w:rsid w:val="00466965"/>
    <w:rsid w:val="0046738B"/>
    <w:rsid w:val="0046743D"/>
    <w:rsid w:val="00467B4A"/>
    <w:rsid w:val="00467EAB"/>
    <w:rsid w:val="00467F35"/>
    <w:rsid w:val="0047054A"/>
    <w:rsid w:val="00470772"/>
    <w:rsid w:val="00470C29"/>
    <w:rsid w:val="00470C76"/>
    <w:rsid w:val="00471230"/>
    <w:rsid w:val="00471682"/>
    <w:rsid w:val="00472C9D"/>
    <w:rsid w:val="00472DE2"/>
    <w:rsid w:val="00472E8C"/>
    <w:rsid w:val="00472F49"/>
    <w:rsid w:val="004733B7"/>
    <w:rsid w:val="004736FB"/>
    <w:rsid w:val="004737CE"/>
    <w:rsid w:val="00473888"/>
    <w:rsid w:val="00473B00"/>
    <w:rsid w:val="00473C5F"/>
    <w:rsid w:val="00473CE1"/>
    <w:rsid w:val="004740E0"/>
    <w:rsid w:val="004747ED"/>
    <w:rsid w:val="00474A63"/>
    <w:rsid w:val="00474CC2"/>
    <w:rsid w:val="00474F79"/>
    <w:rsid w:val="00475664"/>
    <w:rsid w:val="00475677"/>
    <w:rsid w:val="00475C67"/>
    <w:rsid w:val="00476574"/>
    <w:rsid w:val="004768CA"/>
    <w:rsid w:val="0047694C"/>
    <w:rsid w:val="00476A67"/>
    <w:rsid w:val="00476FCF"/>
    <w:rsid w:val="004771E6"/>
    <w:rsid w:val="00477885"/>
    <w:rsid w:val="00477C6A"/>
    <w:rsid w:val="00480154"/>
    <w:rsid w:val="00480E2B"/>
    <w:rsid w:val="00481210"/>
    <w:rsid w:val="00481283"/>
    <w:rsid w:val="00481724"/>
    <w:rsid w:val="004817CF"/>
    <w:rsid w:val="0048186E"/>
    <w:rsid w:val="0048192D"/>
    <w:rsid w:val="00481B69"/>
    <w:rsid w:val="00481F11"/>
    <w:rsid w:val="00482308"/>
    <w:rsid w:val="00482A7A"/>
    <w:rsid w:val="00482D10"/>
    <w:rsid w:val="004832DE"/>
    <w:rsid w:val="004835BD"/>
    <w:rsid w:val="0048375A"/>
    <w:rsid w:val="00483D4C"/>
    <w:rsid w:val="00483FA0"/>
    <w:rsid w:val="00484006"/>
    <w:rsid w:val="00484208"/>
    <w:rsid w:val="00484385"/>
    <w:rsid w:val="00484664"/>
    <w:rsid w:val="00484C3E"/>
    <w:rsid w:val="00484CF3"/>
    <w:rsid w:val="004853E9"/>
    <w:rsid w:val="004859CA"/>
    <w:rsid w:val="00486084"/>
    <w:rsid w:val="00486252"/>
    <w:rsid w:val="0048643A"/>
    <w:rsid w:val="00486641"/>
    <w:rsid w:val="0048688C"/>
    <w:rsid w:val="00486C83"/>
    <w:rsid w:val="0048706B"/>
    <w:rsid w:val="004872A6"/>
    <w:rsid w:val="004878E7"/>
    <w:rsid w:val="00487C2D"/>
    <w:rsid w:val="00487CDA"/>
    <w:rsid w:val="00487D33"/>
    <w:rsid w:val="00487DA1"/>
    <w:rsid w:val="004915AD"/>
    <w:rsid w:val="00491CC4"/>
    <w:rsid w:val="00491DA0"/>
    <w:rsid w:val="0049234D"/>
    <w:rsid w:val="00492A77"/>
    <w:rsid w:val="00493118"/>
    <w:rsid w:val="00493C73"/>
    <w:rsid w:val="00493F96"/>
    <w:rsid w:val="004945CC"/>
    <w:rsid w:val="004945D7"/>
    <w:rsid w:val="00494604"/>
    <w:rsid w:val="00494D14"/>
    <w:rsid w:val="00494F07"/>
    <w:rsid w:val="00495711"/>
    <w:rsid w:val="004958A7"/>
    <w:rsid w:val="00495C29"/>
    <w:rsid w:val="00495E1E"/>
    <w:rsid w:val="00497588"/>
    <w:rsid w:val="00497A45"/>
    <w:rsid w:val="00497B61"/>
    <w:rsid w:val="00497F43"/>
    <w:rsid w:val="004A018A"/>
    <w:rsid w:val="004A025C"/>
    <w:rsid w:val="004A0413"/>
    <w:rsid w:val="004A1059"/>
    <w:rsid w:val="004A14EC"/>
    <w:rsid w:val="004A171C"/>
    <w:rsid w:val="004A1B01"/>
    <w:rsid w:val="004A1B52"/>
    <w:rsid w:val="004A2175"/>
    <w:rsid w:val="004A21D0"/>
    <w:rsid w:val="004A2218"/>
    <w:rsid w:val="004A22DA"/>
    <w:rsid w:val="004A2770"/>
    <w:rsid w:val="004A2CCB"/>
    <w:rsid w:val="004A2F14"/>
    <w:rsid w:val="004A311E"/>
    <w:rsid w:val="004A3186"/>
    <w:rsid w:val="004A345B"/>
    <w:rsid w:val="004A36D4"/>
    <w:rsid w:val="004A38ED"/>
    <w:rsid w:val="004A39E7"/>
    <w:rsid w:val="004A3EFB"/>
    <w:rsid w:val="004A43D1"/>
    <w:rsid w:val="004A45E0"/>
    <w:rsid w:val="004A46EC"/>
    <w:rsid w:val="004A4744"/>
    <w:rsid w:val="004A4A99"/>
    <w:rsid w:val="004A4DE4"/>
    <w:rsid w:val="004A4E25"/>
    <w:rsid w:val="004A4E75"/>
    <w:rsid w:val="004A4EFF"/>
    <w:rsid w:val="004A581F"/>
    <w:rsid w:val="004A5AE3"/>
    <w:rsid w:val="004A5F95"/>
    <w:rsid w:val="004A6098"/>
    <w:rsid w:val="004A6260"/>
    <w:rsid w:val="004A6271"/>
    <w:rsid w:val="004A6304"/>
    <w:rsid w:val="004A65EF"/>
    <w:rsid w:val="004A6CFA"/>
    <w:rsid w:val="004A6FFC"/>
    <w:rsid w:val="004A752E"/>
    <w:rsid w:val="004A790E"/>
    <w:rsid w:val="004A7B7C"/>
    <w:rsid w:val="004A7BF0"/>
    <w:rsid w:val="004A7EE3"/>
    <w:rsid w:val="004B043F"/>
    <w:rsid w:val="004B050D"/>
    <w:rsid w:val="004B0908"/>
    <w:rsid w:val="004B0BD2"/>
    <w:rsid w:val="004B0C8E"/>
    <w:rsid w:val="004B12F6"/>
    <w:rsid w:val="004B1DFB"/>
    <w:rsid w:val="004B1E6E"/>
    <w:rsid w:val="004B212D"/>
    <w:rsid w:val="004B226B"/>
    <w:rsid w:val="004B2809"/>
    <w:rsid w:val="004B2962"/>
    <w:rsid w:val="004B2C3F"/>
    <w:rsid w:val="004B300E"/>
    <w:rsid w:val="004B345F"/>
    <w:rsid w:val="004B3753"/>
    <w:rsid w:val="004B38EA"/>
    <w:rsid w:val="004B3D53"/>
    <w:rsid w:val="004B406E"/>
    <w:rsid w:val="004B4118"/>
    <w:rsid w:val="004B4382"/>
    <w:rsid w:val="004B49B9"/>
    <w:rsid w:val="004B4F69"/>
    <w:rsid w:val="004B50B5"/>
    <w:rsid w:val="004B52CF"/>
    <w:rsid w:val="004B58C7"/>
    <w:rsid w:val="004B591A"/>
    <w:rsid w:val="004B5B83"/>
    <w:rsid w:val="004B628B"/>
    <w:rsid w:val="004B6715"/>
    <w:rsid w:val="004B6887"/>
    <w:rsid w:val="004B6A70"/>
    <w:rsid w:val="004B6AF5"/>
    <w:rsid w:val="004B6D2B"/>
    <w:rsid w:val="004B6DFC"/>
    <w:rsid w:val="004B6FE7"/>
    <w:rsid w:val="004B717C"/>
    <w:rsid w:val="004B770A"/>
    <w:rsid w:val="004B7CE1"/>
    <w:rsid w:val="004C0423"/>
    <w:rsid w:val="004C06E0"/>
    <w:rsid w:val="004C071D"/>
    <w:rsid w:val="004C07FE"/>
    <w:rsid w:val="004C0951"/>
    <w:rsid w:val="004C0E27"/>
    <w:rsid w:val="004C10EB"/>
    <w:rsid w:val="004C11FB"/>
    <w:rsid w:val="004C14D3"/>
    <w:rsid w:val="004C1503"/>
    <w:rsid w:val="004C1BC3"/>
    <w:rsid w:val="004C21EF"/>
    <w:rsid w:val="004C24AB"/>
    <w:rsid w:val="004C2B04"/>
    <w:rsid w:val="004C301B"/>
    <w:rsid w:val="004C331A"/>
    <w:rsid w:val="004C34F9"/>
    <w:rsid w:val="004C39BD"/>
    <w:rsid w:val="004C3B10"/>
    <w:rsid w:val="004C3D73"/>
    <w:rsid w:val="004C40E0"/>
    <w:rsid w:val="004C41CF"/>
    <w:rsid w:val="004C438B"/>
    <w:rsid w:val="004C50C8"/>
    <w:rsid w:val="004C51AE"/>
    <w:rsid w:val="004C53F1"/>
    <w:rsid w:val="004C55BB"/>
    <w:rsid w:val="004C57C9"/>
    <w:rsid w:val="004C5931"/>
    <w:rsid w:val="004C6034"/>
    <w:rsid w:val="004C6445"/>
    <w:rsid w:val="004C6B3E"/>
    <w:rsid w:val="004C6DF4"/>
    <w:rsid w:val="004C6E81"/>
    <w:rsid w:val="004C7023"/>
    <w:rsid w:val="004C7791"/>
    <w:rsid w:val="004C7FA3"/>
    <w:rsid w:val="004D0162"/>
    <w:rsid w:val="004D04C6"/>
    <w:rsid w:val="004D05DE"/>
    <w:rsid w:val="004D07EE"/>
    <w:rsid w:val="004D0B10"/>
    <w:rsid w:val="004D0FD4"/>
    <w:rsid w:val="004D1031"/>
    <w:rsid w:val="004D1144"/>
    <w:rsid w:val="004D1260"/>
    <w:rsid w:val="004D18C8"/>
    <w:rsid w:val="004D19EB"/>
    <w:rsid w:val="004D1D15"/>
    <w:rsid w:val="004D1D1A"/>
    <w:rsid w:val="004D1DD8"/>
    <w:rsid w:val="004D1F49"/>
    <w:rsid w:val="004D1F4D"/>
    <w:rsid w:val="004D2329"/>
    <w:rsid w:val="004D2632"/>
    <w:rsid w:val="004D2AFA"/>
    <w:rsid w:val="004D2B51"/>
    <w:rsid w:val="004D388A"/>
    <w:rsid w:val="004D3901"/>
    <w:rsid w:val="004D3ED1"/>
    <w:rsid w:val="004D3F8B"/>
    <w:rsid w:val="004D4293"/>
    <w:rsid w:val="004D4415"/>
    <w:rsid w:val="004D443D"/>
    <w:rsid w:val="004D4A60"/>
    <w:rsid w:val="004D5C3A"/>
    <w:rsid w:val="004D6442"/>
    <w:rsid w:val="004D64A5"/>
    <w:rsid w:val="004D67AD"/>
    <w:rsid w:val="004D70BC"/>
    <w:rsid w:val="004D70CF"/>
    <w:rsid w:val="004D772E"/>
    <w:rsid w:val="004D7E71"/>
    <w:rsid w:val="004D7EBB"/>
    <w:rsid w:val="004E08B0"/>
    <w:rsid w:val="004E0DDE"/>
    <w:rsid w:val="004E1003"/>
    <w:rsid w:val="004E119D"/>
    <w:rsid w:val="004E1657"/>
    <w:rsid w:val="004E1797"/>
    <w:rsid w:val="004E1E8A"/>
    <w:rsid w:val="004E1F70"/>
    <w:rsid w:val="004E21C2"/>
    <w:rsid w:val="004E2775"/>
    <w:rsid w:val="004E2970"/>
    <w:rsid w:val="004E3146"/>
    <w:rsid w:val="004E358B"/>
    <w:rsid w:val="004E35B7"/>
    <w:rsid w:val="004E3746"/>
    <w:rsid w:val="004E379D"/>
    <w:rsid w:val="004E3E24"/>
    <w:rsid w:val="004E3E86"/>
    <w:rsid w:val="004E410E"/>
    <w:rsid w:val="004E4295"/>
    <w:rsid w:val="004E435F"/>
    <w:rsid w:val="004E4706"/>
    <w:rsid w:val="004E471A"/>
    <w:rsid w:val="004E4A0A"/>
    <w:rsid w:val="004E4C98"/>
    <w:rsid w:val="004E5630"/>
    <w:rsid w:val="004E5A4A"/>
    <w:rsid w:val="004E6162"/>
    <w:rsid w:val="004E63BA"/>
    <w:rsid w:val="004E65AC"/>
    <w:rsid w:val="004E6A0B"/>
    <w:rsid w:val="004E6D80"/>
    <w:rsid w:val="004E6F49"/>
    <w:rsid w:val="004E71F8"/>
    <w:rsid w:val="004E73B0"/>
    <w:rsid w:val="004E73C8"/>
    <w:rsid w:val="004E74DD"/>
    <w:rsid w:val="004F03CB"/>
    <w:rsid w:val="004F04E0"/>
    <w:rsid w:val="004F10AE"/>
    <w:rsid w:val="004F1522"/>
    <w:rsid w:val="004F18A1"/>
    <w:rsid w:val="004F1AB6"/>
    <w:rsid w:val="004F1B55"/>
    <w:rsid w:val="004F1D46"/>
    <w:rsid w:val="004F1E67"/>
    <w:rsid w:val="004F2122"/>
    <w:rsid w:val="004F2539"/>
    <w:rsid w:val="004F2BA7"/>
    <w:rsid w:val="004F2E17"/>
    <w:rsid w:val="004F3430"/>
    <w:rsid w:val="004F3479"/>
    <w:rsid w:val="004F3634"/>
    <w:rsid w:val="004F3B28"/>
    <w:rsid w:val="004F3D7C"/>
    <w:rsid w:val="004F4103"/>
    <w:rsid w:val="004F416E"/>
    <w:rsid w:val="004F43AF"/>
    <w:rsid w:val="004F4961"/>
    <w:rsid w:val="004F4DB0"/>
    <w:rsid w:val="004F50FD"/>
    <w:rsid w:val="004F5CE9"/>
    <w:rsid w:val="004F6033"/>
    <w:rsid w:val="004F668F"/>
    <w:rsid w:val="004F6A5B"/>
    <w:rsid w:val="004F727C"/>
    <w:rsid w:val="004F7485"/>
    <w:rsid w:val="004F7510"/>
    <w:rsid w:val="004F762E"/>
    <w:rsid w:val="004F77F2"/>
    <w:rsid w:val="004F78A9"/>
    <w:rsid w:val="004F79DC"/>
    <w:rsid w:val="004F7DF2"/>
    <w:rsid w:val="00500431"/>
    <w:rsid w:val="00500BF2"/>
    <w:rsid w:val="005017F5"/>
    <w:rsid w:val="00501C62"/>
    <w:rsid w:val="00501F66"/>
    <w:rsid w:val="0050206F"/>
    <w:rsid w:val="00502147"/>
    <w:rsid w:val="005025D4"/>
    <w:rsid w:val="005029E4"/>
    <w:rsid w:val="00502BC7"/>
    <w:rsid w:val="0050319C"/>
    <w:rsid w:val="00503255"/>
    <w:rsid w:val="00503A21"/>
    <w:rsid w:val="00505273"/>
    <w:rsid w:val="0050533C"/>
    <w:rsid w:val="005053E2"/>
    <w:rsid w:val="00505652"/>
    <w:rsid w:val="00505A83"/>
    <w:rsid w:val="00505AE7"/>
    <w:rsid w:val="00506227"/>
    <w:rsid w:val="005062B5"/>
    <w:rsid w:val="00506353"/>
    <w:rsid w:val="005065E7"/>
    <w:rsid w:val="0050661B"/>
    <w:rsid w:val="00506B41"/>
    <w:rsid w:val="005073C4"/>
    <w:rsid w:val="005073CE"/>
    <w:rsid w:val="00507472"/>
    <w:rsid w:val="00507A15"/>
    <w:rsid w:val="005102DC"/>
    <w:rsid w:val="005106C8"/>
    <w:rsid w:val="005109EA"/>
    <w:rsid w:val="00510E45"/>
    <w:rsid w:val="00510F3E"/>
    <w:rsid w:val="005111B1"/>
    <w:rsid w:val="00511455"/>
    <w:rsid w:val="00511872"/>
    <w:rsid w:val="00512100"/>
    <w:rsid w:val="0051232C"/>
    <w:rsid w:val="0051251F"/>
    <w:rsid w:val="00512C75"/>
    <w:rsid w:val="00512DC8"/>
    <w:rsid w:val="00513A6D"/>
    <w:rsid w:val="00513FC3"/>
    <w:rsid w:val="005141D5"/>
    <w:rsid w:val="005145E7"/>
    <w:rsid w:val="00514A94"/>
    <w:rsid w:val="00514F10"/>
    <w:rsid w:val="00515476"/>
    <w:rsid w:val="00515A10"/>
    <w:rsid w:val="00515A39"/>
    <w:rsid w:val="00515E50"/>
    <w:rsid w:val="00516089"/>
    <w:rsid w:val="005166AE"/>
    <w:rsid w:val="00516E1A"/>
    <w:rsid w:val="00516FEC"/>
    <w:rsid w:val="005174EC"/>
    <w:rsid w:val="0051758A"/>
    <w:rsid w:val="00517D78"/>
    <w:rsid w:val="005201CE"/>
    <w:rsid w:val="00520866"/>
    <w:rsid w:val="00520A2A"/>
    <w:rsid w:val="0052100F"/>
    <w:rsid w:val="00521016"/>
    <w:rsid w:val="0052113A"/>
    <w:rsid w:val="0052148C"/>
    <w:rsid w:val="00521657"/>
    <w:rsid w:val="005217CA"/>
    <w:rsid w:val="00521FA1"/>
    <w:rsid w:val="00522364"/>
    <w:rsid w:val="005224E8"/>
    <w:rsid w:val="0052256C"/>
    <w:rsid w:val="005227A5"/>
    <w:rsid w:val="00522AD2"/>
    <w:rsid w:val="00522F0C"/>
    <w:rsid w:val="005230BD"/>
    <w:rsid w:val="0052348C"/>
    <w:rsid w:val="00523A79"/>
    <w:rsid w:val="00524241"/>
    <w:rsid w:val="005244F4"/>
    <w:rsid w:val="0052457E"/>
    <w:rsid w:val="005247B9"/>
    <w:rsid w:val="00525A5D"/>
    <w:rsid w:val="00525AC6"/>
    <w:rsid w:val="00525DEC"/>
    <w:rsid w:val="0052689A"/>
    <w:rsid w:val="00526E15"/>
    <w:rsid w:val="00526E71"/>
    <w:rsid w:val="00527123"/>
    <w:rsid w:val="00527409"/>
    <w:rsid w:val="0052799F"/>
    <w:rsid w:val="00527B94"/>
    <w:rsid w:val="00530021"/>
    <w:rsid w:val="0053020B"/>
    <w:rsid w:val="00530219"/>
    <w:rsid w:val="005307A0"/>
    <w:rsid w:val="00530B90"/>
    <w:rsid w:val="00530BD4"/>
    <w:rsid w:val="005310F9"/>
    <w:rsid w:val="0053156A"/>
    <w:rsid w:val="00531F3B"/>
    <w:rsid w:val="00532CC0"/>
    <w:rsid w:val="00532D22"/>
    <w:rsid w:val="005330D4"/>
    <w:rsid w:val="005332B7"/>
    <w:rsid w:val="005333D5"/>
    <w:rsid w:val="00533499"/>
    <w:rsid w:val="00533B11"/>
    <w:rsid w:val="005342AA"/>
    <w:rsid w:val="0053535E"/>
    <w:rsid w:val="0053547C"/>
    <w:rsid w:val="005355A9"/>
    <w:rsid w:val="005359FF"/>
    <w:rsid w:val="00535C09"/>
    <w:rsid w:val="00535C24"/>
    <w:rsid w:val="00535D6B"/>
    <w:rsid w:val="00535FC3"/>
    <w:rsid w:val="005360D5"/>
    <w:rsid w:val="005364BE"/>
    <w:rsid w:val="0053681F"/>
    <w:rsid w:val="0053696E"/>
    <w:rsid w:val="00536A7C"/>
    <w:rsid w:val="00536C06"/>
    <w:rsid w:val="00536C18"/>
    <w:rsid w:val="00537C1B"/>
    <w:rsid w:val="0054032E"/>
    <w:rsid w:val="00540482"/>
    <w:rsid w:val="005405B7"/>
    <w:rsid w:val="0054076F"/>
    <w:rsid w:val="005409E8"/>
    <w:rsid w:val="0054117D"/>
    <w:rsid w:val="0054127F"/>
    <w:rsid w:val="00541539"/>
    <w:rsid w:val="0054154C"/>
    <w:rsid w:val="0054166D"/>
    <w:rsid w:val="0054199F"/>
    <w:rsid w:val="00541A4C"/>
    <w:rsid w:val="00541B4F"/>
    <w:rsid w:val="00541E69"/>
    <w:rsid w:val="00542142"/>
    <w:rsid w:val="005422F8"/>
    <w:rsid w:val="005423D9"/>
    <w:rsid w:val="0054270A"/>
    <w:rsid w:val="00542746"/>
    <w:rsid w:val="00542ACB"/>
    <w:rsid w:val="00543071"/>
    <w:rsid w:val="005430A4"/>
    <w:rsid w:val="005431D2"/>
    <w:rsid w:val="0054322B"/>
    <w:rsid w:val="0054352B"/>
    <w:rsid w:val="005437D2"/>
    <w:rsid w:val="00543A3A"/>
    <w:rsid w:val="00543E2B"/>
    <w:rsid w:val="005445E1"/>
    <w:rsid w:val="005449C9"/>
    <w:rsid w:val="00544D01"/>
    <w:rsid w:val="00545784"/>
    <w:rsid w:val="00545A04"/>
    <w:rsid w:val="00545F57"/>
    <w:rsid w:val="00546477"/>
    <w:rsid w:val="0054652A"/>
    <w:rsid w:val="00546CEA"/>
    <w:rsid w:val="00546E3D"/>
    <w:rsid w:val="00547124"/>
    <w:rsid w:val="0054733C"/>
    <w:rsid w:val="005503F5"/>
    <w:rsid w:val="005509AC"/>
    <w:rsid w:val="00550C3A"/>
    <w:rsid w:val="00550FCE"/>
    <w:rsid w:val="005510F9"/>
    <w:rsid w:val="00551BAE"/>
    <w:rsid w:val="00551CCA"/>
    <w:rsid w:val="00552856"/>
    <w:rsid w:val="00552B67"/>
    <w:rsid w:val="00552C42"/>
    <w:rsid w:val="005531C2"/>
    <w:rsid w:val="005532E6"/>
    <w:rsid w:val="00553AB8"/>
    <w:rsid w:val="00553B7B"/>
    <w:rsid w:val="005541D1"/>
    <w:rsid w:val="005546FA"/>
    <w:rsid w:val="005547B0"/>
    <w:rsid w:val="0055535A"/>
    <w:rsid w:val="005555B3"/>
    <w:rsid w:val="0055581E"/>
    <w:rsid w:val="00555B80"/>
    <w:rsid w:val="00555F42"/>
    <w:rsid w:val="005560EF"/>
    <w:rsid w:val="0055664F"/>
    <w:rsid w:val="00556762"/>
    <w:rsid w:val="005572EF"/>
    <w:rsid w:val="00557913"/>
    <w:rsid w:val="00557E83"/>
    <w:rsid w:val="00560F0C"/>
    <w:rsid w:val="0056100C"/>
    <w:rsid w:val="0056154C"/>
    <w:rsid w:val="00561DEB"/>
    <w:rsid w:val="005620E1"/>
    <w:rsid w:val="0056222C"/>
    <w:rsid w:val="005630EC"/>
    <w:rsid w:val="00563383"/>
    <w:rsid w:val="00563535"/>
    <w:rsid w:val="00563729"/>
    <w:rsid w:val="00563870"/>
    <w:rsid w:val="00564699"/>
    <w:rsid w:val="00564782"/>
    <w:rsid w:val="00564BF4"/>
    <w:rsid w:val="00564D5F"/>
    <w:rsid w:val="00564D9E"/>
    <w:rsid w:val="00565043"/>
    <w:rsid w:val="0056515B"/>
    <w:rsid w:val="00565417"/>
    <w:rsid w:val="00565618"/>
    <w:rsid w:val="00565AE6"/>
    <w:rsid w:val="00565F95"/>
    <w:rsid w:val="00566028"/>
    <w:rsid w:val="00566468"/>
    <w:rsid w:val="0056681E"/>
    <w:rsid w:val="00566DEE"/>
    <w:rsid w:val="00566F0D"/>
    <w:rsid w:val="00567667"/>
    <w:rsid w:val="0056773C"/>
    <w:rsid w:val="00567DF2"/>
    <w:rsid w:val="00567E4E"/>
    <w:rsid w:val="00567E77"/>
    <w:rsid w:val="00567FE5"/>
    <w:rsid w:val="005708CD"/>
    <w:rsid w:val="00570BC4"/>
    <w:rsid w:val="00570CC1"/>
    <w:rsid w:val="00570CC2"/>
    <w:rsid w:val="005714F3"/>
    <w:rsid w:val="005718A9"/>
    <w:rsid w:val="005721ED"/>
    <w:rsid w:val="0057222A"/>
    <w:rsid w:val="00572283"/>
    <w:rsid w:val="00572423"/>
    <w:rsid w:val="0057377B"/>
    <w:rsid w:val="0057384B"/>
    <w:rsid w:val="00573D49"/>
    <w:rsid w:val="00573FEB"/>
    <w:rsid w:val="005745F3"/>
    <w:rsid w:val="00574712"/>
    <w:rsid w:val="00574721"/>
    <w:rsid w:val="00574B94"/>
    <w:rsid w:val="00574EBC"/>
    <w:rsid w:val="00574EC4"/>
    <w:rsid w:val="0057506C"/>
    <w:rsid w:val="00575100"/>
    <w:rsid w:val="00575293"/>
    <w:rsid w:val="0057582A"/>
    <w:rsid w:val="00576754"/>
    <w:rsid w:val="00576B49"/>
    <w:rsid w:val="00577DB5"/>
    <w:rsid w:val="005804B0"/>
    <w:rsid w:val="005805DD"/>
    <w:rsid w:val="0058062B"/>
    <w:rsid w:val="005807A0"/>
    <w:rsid w:val="00580CAB"/>
    <w:rsid w:val="00580F47"/>
    <w:rsid w:val="005810B8"/>
    <w:rsid w:val="005816C8"/>
    <w:rsid w:val="00581D8F"/>
    <w:rsid w:val="00581F4E"/>
    <w:rsid w:val="00581FAE"/>
    <w:rsid w:val="00582272"/>
    <w:rsid w:val="00582357"/>
    <w:rsid w:val="00582894"/>
    <w:rsid w:val="005829DE"/>
    <w:rsid w:val="00582DED"/>
    <w:rsid w:val="00582F30"/>
    <w:rsid w:val="00583913"/>
    <w:rsid w:val="00583E3A"/>
    <w:rsid w:val="00583ED9"/>
    <w:rsid w:val="005841F5"/>
    <w:rsid w:val="005844FD"/>
    <w:rsid w:val="00584523"/>
    <w:rsid w:val="00584643"/>
    <w:rsid w:val="00584B14"/>
    <w:rsid w:val="0058568D"/>
    <w:rsid w:val="00585D42"/>
    <w:rsid w:val="00585D44"/>
    <w:rsid w:val="00585E3C"/>
    <w:rsid w:val="00586E92"/>
    <w:rsid w:val="00586EE4"/>
    <w:rsid w:val="00587106"/>
    <w:rsid w:val="00587235"/>
    <w:rsid w:val="005872A0"/>
    <w:rsid w:val="005875B1"/>
    <w:rsid w:val="0058769E"/>
    <w:rsid w:val="00587EE4"/>
    <w:rsid w:val="0059007B"/>
    <w:rsid w:val="00590474"/>
    <w:rsid w:val="00590681"/>
    <w:rsid w:val="005906E1"/>
    <w:rsid w:val="005909D9"/>
    <w:rsid w:val="00590E5F"/>
    <w:rsid w:val="00590ECE"/>
    <w:rsid w:val="00590F21"/>
    <w:rsid w:val="005911FA"/>
    <w:rsid w:val="0059121D"/>
    <w:rsid w:val="005917E7"/>
    <w:rsid w:val="00591929"/>
    <w:rsid w:val="00591B67"/>
    <w:rsid w:val="0059205C"/>
    <w:rsid w:val="00592406"/>
    <w:rsid w:val="00592457"/>
    <w:rsid w:val="00592529"/>
    <w:rsid w:val="005925F4"/>
    <w:rsid w:val="00592638"/>
    <w:rsid w:val="00592C49"/>
    <w:rsid w:val="00592CBC"/>
    <w:rsid w:val="00592DAD"/>
    <w:rsid w:val="00592E47"/>
    <w:rsid w:val="0059308B"/>
    <w:rsid w:val="00593506"/>
    <w:rsid w:val="0059491E"/>
    <w:rsid w:val="005950D6"/>
    <w:rsid w:val="005955EB"/>
    <w:rsid w:val="00596C93"/>
    <w:rsid w:val="00596FF9"/>
    <w:rsid w:val="00597022"/>
    <w:rsid w:val="00597248"/>
    <w:rsid w:val="00597577"/>
    <w:rsid w:val="00597872"/>
    <w:rsid w:val="0059796C"/>
    <w:rsid w:val="00597A32"/>
    <w:rsid w:val="00597E13"/>
    <w:rsid w:val="005A0A0A"/>
    <w:rsid w:val="005A0CC1"/>
    <w:rsid w:val="005A0ED6"/>
    <w:rsid w:val="005A0F77"/>
    <w:rsid w:val="005A130F"/>
    <w:rsid w:val="005A13E0"/>
    <w:rsid w:val="005A14E1"/>
    <w:rsid w:val="005A18C1"/>
    <w:rsid w:val="005A1968"/>
    <w:rsid w:val="005A1D8A"/>
    <w:rsid w:val="005A222F"/>
    <w:rsid w:val="005A266D"/>
    <w:rsid w:val="005A2A01"/>
    <w:rsid w:val="005A2A95"/>
    <w:rsid w:val="005A378E"/>
    <w:rsid w:val="005A3890"/>
    <w:rsid w:val="005A3B20"/>
    <w:rsid w:val="005A46E4"/>
    <w:rsid w:val="005A5107"/>
    <w:rsid w:val="005A5ABF"/>
    <w:rsid w:val="005A5CA7"/>
    <w:rsid w:val="005A6209"/>
    <w:rsid w:val="005A62F5"/>
    <w:rsid w:val="005A6AA4"/>
    <w:rsid w:val="005A6CCD"/>
    <w:rsid w:val="005A70B4"/>
    <w:rsid w:val="005A71EB"/>
    <w:rsid w:val="005A7206"/>
    <w:rsid w:val="005A73CC"/>
    <w:rsid w:val="005B022D"/>
    <w:rsid w:val="005B0528"/>
    <w:rsid w:val="005B07D0"/>
    <w:rsid w:val="005B0AAD"/>
    <w:rsid w:val="005B0C94"/>
    <w:rsid w:val="005B11CA"/>
    <w:rsid w:val="005B1234"/>
    <w:rsid w:val="005B150E"/>
    <w:rsid w:val="005B1705"/>
    <w:rsid w:val="005B17BB"/>
    <w:rsid w:val="005B18B5"/>
    <w:rsid w:val="005B19E4"/>
    <w:rsid w:val="005B24CE"/>
    <w:rsid w:val="005B2881"/>
    <w:rsid w:val="005B2C77"/>
    <w:rsid w:val="005B2D07"/>
    <w:rsid w:val="005B3145"/>
    <w:rsid w:val="005B31C6"/>
    <w:rsid w:val="005B3574"/>
    <w:rsid w:val="005B3B2C"/>
    <w:rsid w:val="005B3C3F"/>
    <w:rsid w:val="005B431A"/>
    <w:rsid w:val="005B44BE"/>
    <w:rsid w:val="005B44FD"/>
    <w:rsid w:val="005B470C"/>
    <w:rsid w:val="005B4C02"/>
    <w:rsid w:val="005B55F8"/>
    <w:rsid w:val="005B5727"/>
    <w:rsid w:val="005B5956"/>
    <w:rsid w:val="005B5E20"/>
    <w:rsid w:val="005B60DC"/>
    <w:rsid w:val="005B6468"/>
    <w:rsid w:val="005B6810"/>
    <w:rsid w:val="005B688D"/>
    <w:rsid w:val="005B6E7B"/>
    <w:rsid w:val="005B7688"/>
    <w:rsid w:val="005B7723"/>
    <w:rsid w:val="005B799C"/>
    <w:rsid w:val="005C0121"/>
    <w:rsid w:val="005C0273"/>
    <w:rsid w:val="005C040F"/>
    <w:rsid w:val="005C04EF"/>
    <w:rsid w:val="005C06AF"/>
    <w:rsid w:val="005C08D4"/>
    <w:rsid w:val="005C0A94"/>
    <w:rsid w:val="005C0CBF"/>
    <w:rsid w:val="005C0CCA"/>
    <w:rsid w:val="005C1371"/>
    <w:rsid w:val="005C170E"/>
    <w:rsid w:val="005C1C23"/>
    <w:rsid w:val="005C1E02"/>
    <w:rsid w:val="005C1E27"/>
    <w:rsid w:val="005C23D5"/>
    <w:rsid w:val="005C2403"/>
    <w:rsid w:val="005C2B34"/>
    <w:rsid w:val="005C2BAB"/>
    <w:rsid w:val="005C30C6"/>
    <w:rsid w:val="005C30DA"/>
    <w:rsid w:val="005C3405"/>
    <w:rsid w:val="005C3895"/>
    <w:rsid w:val="005C3EFB"/>
    <w:rsid w:val="005C4839"/>
    <w:rsid w:val="005C4C2E"/>
    <w:rsid w:val="005C4EDD"/>
    <w:rsid w:val="005C51A9"/>
    <w:rsid w:val="005C599B"/>
    <w:rsid w:val="005C5A54"/>
    <w:rsid w:val="005C60A5"/>
    <w:rsid w:val="005C61A1"/>
    <w:rsid w:val="005C6CF9"/>
    <w:rsid w:val="005C740A"/>
    <w:rsid w:val="005C7C76"/>
    <w:rsid w:val="005D09D5"/>
    <w:rsid w:val="005D0A94"/>
    <w:rsid w:val="005D0B51"/>
    <w:rsid w:val="005D0D97"/>
    <w:rsid w:val="005D1225"/>
    <w:rsid w:val="005D1459"/>
    <w:rsid w:val="005D172C"/>
    <w:rsid w:val="005D1A99"/>
    <w:rsid w:val="005D1AAC"/>
    <w:rsid w:val="005D1D51"/>
    <w:rsid w:val="005D2A0C"/>
    <w:rsid w:val="005D32DC"/>
    <w:rsid w:val="005D338A"/>
    <w:rsid w:val="005D34A1"/>
    <w:rsid w:val="005D36B0"/>
    <w:rsid w:val="005D3A4D"/>
    <w:rsid w:val="005D3D12"/>
    <w:rsid w:val="005D3D20"/>
    <w:rsid w:val="005D4734"/>
    <w:rsid w:val="005D4BF2"/>
    <w:rsid w:val="005D4CE2"/>
    <w:rsid w:val="005D4D95"/>
    <w:rsid w:val="005D517B"/>
    <w:rsid w:val="005D59DA"/>
    <w:rsid w:val="005D5E59"/>
    <w:rsid w:val="005D60D0"/>
    <w:rsid w:val="005D626D"/>
    <w:rsid w:val="005D6860"/>
    <w:rsid w:val="005D69C4"/>
    <w:rsid w:val="005D6AA7"/>
    <w:rsid w:val="005D7152"/>
    <w:rsid w:val="005D7429"/>
    <w:rsid w:val="005D78BB"/>
    <w:rsid w:val="005D7A04"/>
    <w:rsid w:val="005D7FBA"/>
    <w:rsid w:val="005E00EF"/>
    <w:rsid w:val="005E0A68"/>
    <w:rsid w:val="005E0AE6"/>
    <w:rsid w:val="005E0CB1"/>
    <w:rsid w:val="005E1124"/>
    <w:rsid w:val="005E14B3"/>
    <w:rsid w:val="005E1708"/>
    <w:rsid w:val="005E177A"/>
    <w:rsid w:val="005E18DC"/>
    <w:rsid w:val="005E18DE"/>
    <w:rsid w:val="005E1FAC"/>
    <w:rsid w:val="005E25A4"/>
    <w:rsid w:val="005E25E2"/>
    <w:rsid w:val="005E2E74"/>
    <w:rsid w:val="005E3BBE"/>
    <w:rsid w:val="005E4445"/>
    <w:rsid w:val="005E481B"/>
    <w:rsid w:val="005E4F33"/>
    <w:rsid w:val="005E548D"/>
    <w:rsid w:val="005E5B08"/>
    <w:rsid w:val="005E5B45"/>
    <w:rsid w:val="005E6065"/>
    <w:rsid w:val="005E6342"/>
    <w:rsid w:val="005E6D3F"/>
    <w:rsid w:val="005E6E8E"/>
    <w:rsid w:val="005E6EE6"/>
    <w:rsid w:val="005E70A4"/>
    <w:rsid w:val="005E7178"/>
    <w:rsid w:val="005E718F"/>
    <w:rsid w:val="005E7230"/>
    <w:rsid w:val="005E7484"/>
    <w:rsid w:val="005E75D8"/>
    <w:rsid w:val="005E76AF"/>
    <w:rsid w:val="005E790E"/>
    <w:rsid w:val="005E7A5C"/>
    <w:rsid w:val="005E7CE5"/>
    <w:rsid w:val="005F039C"/>
    <w:rsid w:val="005F0CD2"/>
    <w:rsid w:val="005F14B6"/>
    <w:rsid w:val="005F1AD2"/>
    <w:rsid w:val="005F1BDB"/>
    <w:rsid w:val="005F1DDB"/>
    <w:rsid w:val="005F1E93"/>
    <w:rsid w:val="005F237C"/>
    <w:rsid w:val="005F261D"/>
    <w:rsid w:val="005F2908"/>
    <w:rsid w:val="005F3395"/>
    <w:rsid w:val="005F3E6A"/>
    <w:rsid w:val="005F4BE4"/>
    <w:rsid w:val="005F4D3E"/>
    <w:rsid w:val="005F6016"/>
    <w:rsid w:val="005F6557"/>
    <w:rsid w:val="005F6978"/>
    <w:rsid w:val="005F6A51"/>
    <w:rsid w:val="005F6EFC"/>
    <w:rsid w:val="00600603"/>
    <w:rsid w:val="006007EE"/>
    <w:rsid w:val="006011C4"/>
    <w:rsid w:val="0060138A"/>
    <w:rsid w:val="006013F6"/>
    <w:rsid w:val="00601A7E"/>
    <w:rsid w:val="00601FEF"/>
    <w:rsid w:val="00602009"/>
    <w:rsid w:val="00602893"/>
    <w:rsid w:val="00602A6C"/>
    <w:rsid w:val="00602E93"/>
    <w:rsid w:val="00602ED5"/>
    <w:rsid w:val="00602F12"/>
    <w:rsid w:val="0060358C"/>
    <w:rsid w:val="006038A0"/>
    <w:rsid w:val="00603D01"/>
    <w:rsid w:val="00603DE1"/>
    <w:rsid w:val="00604429"/>
    <w:rsid w:val="006044CF"/>
    <w:rsid w:val="0060498C"/>
    <w:rsid w:val="00604F86"/>
    <w:rsid w:val="00604FF7"/>
    <w:rsid w:val="00605DE9"/>
    <w:rsid w:val="00606392"/>
    <w:rsid w:val="006069D0"/>
    <w:rsid w:val="006069E9"/>
    <w:rsid w:val="006075C2"/>
    <w:rsid w:val="006079C5"/>
    <w:rsid w:val="00607A74"/>
    <w:rsid w:val="00607B14"/>
    <w:rsid w:val="0061010A"/>
    <w:rsid w:val="006107BE"/>
    <w:rsid w:val="00611430"/>
    <w:rsid w:val="006115E5"/>
    <w:rsid w:val="00611A27"/>
    <w:rsid w:val="00611BA6"/>
    <w:rsid w:val="006122EF"/>
    <w:rsid w:val="00612738"/>
    <w:rsid w:val="00612776"/>
    <w:rsid w:val="006127F0"/>
    <w:rsid w:val="00612A81"/>
    <w:rsid w:val="00613652"/>
    <w:rsid w:val="006136D8"/>
    <w:rsid w:val="00613DE4"/>
    <w:rsid w:val="00613EFF"/>
    <w:rsid w:val="00614083"/>
    <w:rsid w:val="00614585"/>
    <w:rsid w:val="00614870"/>
    <w:rsid w:val="00614884"/>
    <w:rsid w:val="00614BE5"/>
    <w:rsid w:val="00614C6D"/>
    <w:rsid w:val="00614C79"/>
    <w:rsid w:val="0061516D"/>
    <w:rsid w:val="006154CA"/>
    <w:rsid w:val="0061557F"/>
    <w:rsid w:val="00615CC6"/>
    <w:rsid w:val="00616727"/>
    <w:rsid w:val="00616A2D"/>
    <w:rsid w:val="00616A64"/>
    <w:rsid w:val="00616B8D"/>
    <w:rsid w:val="00616C0B"/>
    <w:rsid w:val="00616FF0"/>
    <w:rsid w:val="006170FC"/>
    <w:rsid w:val="006173C2"/>
    <w:rsid w:val="00617AE5"/>
    <w:rsid w:val="006200A3"/>
    <w:rsid w:val="00620219"/>
    <w:rsid w:val="0062066E"/>
    <w:rsid w:val="0062080A"/>
    <w:rsid w:val="006209A4"/>
    <w:rsid w:val="00620C7F"/>
    <w:rsid w:val="00620D15"/>
    <w:rsid w:val="00621013"/>
    <w:rsid w:val="0062116A"/>
    <w:rsid w:val="00621E38"/>
    <w:rsid w:val="00622443"/>
    <w:rsid w:val="00622741"/>
    <w:rsid w:val="00622803"/>
    <w:rsid w:val="00622DA5"/>
    <w:rsid w:val="00622DC5"/>
    <w:rsid w:val="00622DC7"/>
    <w:rsid w:val="006230B9"/>
    <w:rsid w:val="00623919"/>
    <w:rsid w:val="0062426D"/>
    <w:rsid w:val="00624D90"/>
    <w:rsid w:val="00625347"/>
    <w:rsid w:val="00625898"/>
    <w:rsid w:val="00625C16"/>
    <w:rsid w:val="00625D6A"/>
    <w:rsid w:val="00625DA1"/>
    <w:rsid w:val="00625F1F"/>
    <w:rsid w:val="006262F9"/>
    <w:rsid w:val="0062630A"/>
    <w:rsid w:val="00626823"/>
    <w:rsid w:val="00626865"/>
    <w:rsid w:val="00626A7B"/>
    <w:rsid w:val="00626BA5"/>
    <w:rsid w:val="00626E84"/>
    <w:rsid w:val="00626F96"/>
    <w:rsid w:val="00627B44"/>
    <w:rsid w:val="0063030A"/>
    <w:rsid w:val="0063068B"/>
    <w:rsid w:val="0063088A"/>
    <w:rsid w:val="00631038"/>
    <w:rsid w:val="0063153E"/>
    <w:rsid w:val="006317C7"/>
    <w:rsid w:val="00631B8E"/>
    <w:rsid w:val="00631F94"/>
    <w:rsid w:val="00632052"/>
    <w:rsid w:val="0063251D"/>
    <w:rsid w:val="00632D0A"/>
    <w:rsid w:val="00632E89"/>
    <w:rsid w:val="00632FBC"/>
    <w:rsid w:val="00632FFC"/>
    <w:rsid w:val="00633252"/>
    <w:rsid w:val="00633B59"/>
    <w:rsid w:val="00633E8F"/>
    <w:rsid w:val="00634033"/>
    <w:rsid w:val="00634D62"/>
    <w:rsid w:val="00634F4F"/>
    <w:rsid w:val="0063627D"/>
    <w:rsid w:val="00636E98"/>
    <w:rsid w:val="00637016"/>
    <w:rsid w:val="006371A5"/>
    <w:rsid w:val="006375F7"/>
    <w:rsid w:val="006379FB"/>
    <w:rsid w:val="00640450"/>
    <w:rsid w:val="00640A70"/>
    <w:rsid w:val="00640CE0"/>
    <w:rsid w:val="00640D2F"/>
    <w:rsid w:val="00640F4E"/>
    <w:rsid w:val="006411A7"/>
    <w:rsid w:val="006411EF"/>
    <w:rsid w:val="00641293"/>
    <w:rsid w:val="006417A2"/>
    <w:rsid w:val="00642027"/>
    <w:rsid w:val="0064226D"/>
    <w:rsid w:val="006423DF"/>
    <w:rsid w:val="0064258A"/>
    <w:rsid w:val="00642607"/>
    <w:rsid w:val="00642ADD"/>
    <w:rsid w:val="00642EA1"/>
    <w:rsid w:val="00642EAB"/>
    <w:rsid w:val="00643A44"/>
    <w:rsid w:val="00643EE7"/>
    <w:rsid w:val="006440A9"/>
    <w:rsid w:val="006440B8"/>
    <w:rsid w:val="006441CC"/>
    <w:rsid w:val="00644227"/>
    <w:rsid w:val="00644305"/>
    <w:rsid w:val="00644CF3"/>
    <w:rsid w:val="00645512"/>
    <w:rsid w:val="0064591D"/>
    <w:rsid w:val="00645F41"/>
    <w:rsid w:val="0064657D"/>
    <w:rsid w:val="00646651"/>
    <w:rsid w:val="006467E7"/>
    <w:rsid w:val="00646A8A"/>
    <w:rsid w:val="00646BD1"/>
    <w:rsid w:val="00646E34"/>
    <w:rsid w:val="00647258"/>
    <w:rsid w:val="006478E0"/>
    <w:rsid w:val="00647A48"/>
    <w:rsid w:val="00647D2A"/>
    <w:rsid w:val="006507FA"/>
    <w:rsid w:val="00650CD5"/>
    <w:rsid w:val="00650F50"/>
    <w:rsid w:val="00650F69"/>
    <w:rsid w:val="00650F74"/>
    <w:rsid w:val="0065112F"/>
    <w:rsid w:val="006515CE"/>
    <w:rsid w:val="006518A7"/>
    <w:rsid w:val="00651AE6"/>
    <w:rsid w:val="00651CF0"/>
    <w:rsid w:val="00651E2B"/>
    <w:rsid w:val="00651EBD"/>
    <w:rsid w:val="006522D0"/>
    <w:rsid w:val="00652510"/>
    <w:rsid w:val="00652C0F"/>
    <w:rsid w:val="00652E49"/>
    <w:rsid w:val="006530B0"/>
    <w:rsid w:val="0065318D"/>
    <w:rsid w:val="0065369C"/>
    <w:rsid w:val="006537E7"/>
    <w:rsid w:val="00653A2A"/>
    <w:rsid w:val="00653C4B"/>
    <w:rsid w:val="00653CBE"/>
    <w:rsid w:val="00653D1C"/>
    <w:rsid w:val="00653EF3"/>
    <w:rsid w:val="0065462D"/>
    <w:rsid w:val="0065488B"/>
    <w:rsid w:val="00654960"/>
    <w:rsid w:val="00655B10"/>
    <w:rsid w:val="00655DDE"/>
    <w:rsid w:val="00656027"/>
    <w:rsid w:val="0065622E"/>
    <w:rsid w:val="006563E8"/>
    <w:rsid w:val="0065658F"/>
    <w:rsid w:val="00656695"/>
    <w:rsid w:val="00656710"/>
    <w:rsid w:val="0065691B"/>
    <w:rsid w:val="00656B2D"/>
    <w:rsid w:val="0065750A"/>
    <w:rsid w:val="00657CC5"/>
    <w:rsid w:val="0066080F"/>
    <w:rsid w:val="00660A81"/>
    <w:rsid w:val="00660B83"/>
    <w:rsid w:val="00660CAB"/>
    <w:rsid w:val="00661041"/>
    <w:rsid w:val="006611CB"/>
    <w:rsid w:val="006614B9"/>
    <w:rsid w:val="006615BE"/>
    <w:rsid w:val="006615D6"/>
    <w:rsid w:val="00661973"/>
    <w:rsid w:val="00661F36"/>
    <w:rsid w:val="00661F53"/>
    <w:rsid w:val="00661FF7"/>
    <w:rsid w:val="00662ED8"/>
    <w:rsid w:val="00662F01"/>
    <w:rsid w:val="006632CC"/>
    <w:rsid w:val="0066394C"/>
    <w:rsid w:val="00663A36"/>
    <w:rsid w:val="0066479C"/>
    <w:rsid w:val="006649CE"/>
    <w:rsid w:val="00665220"/>
    <w:rsid w:val="00665365"/>
    <w:rsid w:val="00665532"/>
    <w:rsid w:val="00665926"/>
    <w:rsid w:val="00665954"/>
    <w:rsid w:val="00665F88"/>
    <w:rsid w:val="0066612D"/>
    <w:rsid w:val="0066622B"/>
    <w:rsid w:val="00666475"/>
    <w:rsid w:val="00666552"/>
    <w:rsid w:val="0066762B"/>
    <w:rsid w:val="006677EE"/>
    <w:rsid w:val="006678AC"/>
    <w:rsid w:val="00670F53"/>
    <w:rsid w:val="00670FA4"/>
    <w:rsid w:val="006711E1"/>
    <w:rsid w:val="00671375"/>
    <w:rsid w:val="00671518"/>
    <w:rsid w:val="00671639"/>
    <w:rsid w:val="006717EB"/>
    <w:rsid w:val="00671BA5"/>
    <w:rsid w:val="00671BE3"/>
    <w:rsid w:val="00671BE8"/>
    <w:rsid w:val="00671FCA"/>
    <w:rsid w:val="006720AC"/>
    <w:rsid w:val="006721A1"/>
    <w:rsid w:val="006725B0"/>
    <w:rsid w:val="00673777"/>
    <w:rsid w:val="00674518"/>
    <w:rsid w:val="006746EF"/>
    <w:rsid w:val="00674932"/>
    <w:rsid w:val="00674E08"/>
    <w:rsid w:val="00675CB3"/>
    <w:rsid w:val="0067649C"/>
    <w:rsid w:val="006767BA"/>
    <w:rsid w:val="0067685F"/>
    <w:rsid w:val="00676F01"/>
    <w:rsid w:val="00677489"/>
    <w:rsid w:val="0067754E"/>
    <w:rsid w:val="0067757A"/>
    <w:rsid w:val="0067786B"/>
    <w:rsid w:val="00677A07"/>
    <w:rsid w:val="00677A18"/>
    <w:rsid w:val="00677C6F"/>
    <w:rsid w:val="00677C78"/>
    <w:rsid w:val="00677D7B"/>
    <w:rsid w:val="00677F52"/>
    <w:rsid w:val="006805EB"/>
    <w:rsid w:val="00680694"/>
    <w:rsid w:val="00680B3B"/>
    <w:rsid w:val="00680B5A"/>
    <w:rsid w:val="00680DE7"/>
    <w:rsid w:val="00680E37"/>
    <w:rsid w:val="00680E3E"/>
    <w:rsid w:val="0068109F"/>
    <w:rsid w:val="00681119"/>
    <w:rsid w:val="0068118F"/>
    <w:rsid w:val="0068207F"/>
    <w:rsid w:val="006820F8"/>
    <w:rsid w:val="00682744"/>
    <w:rsid w:val="006827D3"/>
    <w:rsid w:val="00682C29"/>
    <w:rsid w:val="006832B5"/>
    <w:rsid w:val="0068384A"/>
    <w:rsid w:val="00683A34"/>
    <w:rsid w:val="00683B8C"/>
    <w:rsid w:val="00683C0E"/>
    <w:rsid w:val="00683D1B"/>
    <w:rsid w:val="00683D5E"/>
    <w:rsid w:val="00683FD6"/>
    <w:rsid w:val="00684392"/>
    <w:rsid w:val="0068449E"/>
    <w:rsid w:val="006844BE"/>
    <w:rsid w:val="00684932"/>
    <w:rsid w:val="00684DC3"/>
    <w:rsid w:val="00685206"/>
    <w:rsid w:val="00686407"/>
    <w:rsid w:val="00686677"/>
    <w:rsid w:val="006868EC"/>
    <w:rsid w:val="00686F50"/>
    <w:rsid w:val="006874B7"/>
    <w:rsid w:val="00687566"/>
    <w:rsid w:val="00687673"/>
    <w:rsid w:val="00687710"/>
    <w:rsid w:val="00687870"/>
    <w:rsid w:val="00687EB0"/>
    <w:rsid w:val="00690139"/>
    <w:rsid w:val="006901F3"/>
    <w:rsid w:val="0069039C"/>
    <w:rsid w:val="00690948"/>
    <w:rsid w:val="00690BD7"/>
    <w:rsid w:val="00690BF5"/>
    <w:rsid w:val="00691183"/>
    <w:rsid w:val="006912A8"/>
    <w:rsid w:val="006921F0"/>
    <w:rsid w:val="006927FE"/>
    <w:rsid w:val="00692A60"/>
    <w:rsid w:val="00692B85"/>
    <w:rsid w:val="00692CAC"/>
    <w:rsid w:val="00693902"/>
    <w:rsid w:val="0069413A"/>
    <w:rsid w:val="006946D3"/>
    <w:rsid w:val="00695863"/>
    <w:rsid w:val="00695A9E"/>
    <w:rsid w:val="00696011"/>
    <w:rsid w:val="006961DE"/>
    <w:rsid w:val="006963A9"/>
    <w:rsid w:val="00696886"/>
    <w:rsid w:val="00696985"/>
    <w:rsid w:val="00696F8F"/>
    <w:rsid w:val="006975EB"/>
    <w:rsid w:val="00697AA5"/>
    <w:rsid w:val="00697AA8"/>
    <w:rsid w:val="00697EA4"/>
    <w:rsid w:val="00697F22"/>
    <w:rsid w:val="006A06FE"/>
    <w:rsid w:val="006A0D80"/>
    <w:rsid w:val="006A1897"/>
    <w:rsid w:val="006A1906"/>
    <w:rsid w:val="006A1BEC"/>
    <w:rsid w:val="006A1F04"/>
    <w:rsid w:val="006A24AF"/>
    <w:rsid w:val="006A26CA"/>
    <w:rsid w:val="006A2A0E"/>
    <w:rsid w:val="006A2C36"/>
    <w:rsid w:val="006A2C45"/>
    <w:rsid w:val="006A2DD3"/>
    <w:rsid w:val="006A2EAC"/>
    <w:rsid w:val="006A2F32"/>
    <w:rsid w:val="006A31AF"/>
    <w:rsid w:val="006A31B0"/>
    <w:rsid w:val="006A37D7"/>
    <w:rsid w:val="006A388B"/>
    <w:rsid w:val="006A3B60"/>
    <w:rsid w:val="006A3F23"/>
    <w:rsid w:val="006A41ED"/>
    <w:rsid w:val="006A463F"/>
    <w:rsid w:val="006A4BB5"/>
    <w:rsid w:val="006A4C84"/>
    <w:rsid w:val="006A4E15"/>
    <w:rsid w:val="006A50FF"/>
    <w:rsid w:val="006A5747"/>
    <w:rsid w:val="006A5E74"/>
    <w:rsid w:val="006A62A8"/>
    <w:rsid w:val="006A6319"/>
    <w:rsid w:val="006A64D6"/>
    <w:rsid w:val="006A657B"/>
    <w:rsid w:val="006A671E"/>
    <w:rsid w:val="006A7147"/>
    <w:rsid w:val="006A71CB"/>
    <w:rsid w:val="006A748D"/>
    <w:rsid w:val="006A7A4E"/>
    <w:rsid w:val="006A7C82"/>
    <w:rsid w:val="006A7FB0"/>
    <w:rsid w:val="006A7FE6"/>
    <w:rsid w:val="006B0177"/>
    <w:rsid w:val="006B09A4"/>
    <w:rsid w:val="006B0C93"/>
    <w:rsid w:val="006B0D09"/>
    <w:rsid w:val="006B1280"/>
    <w:rsid w:val="006B13AA"/>
    <w:rsid w:val="006B143B"/>
    <w:rsid w:val="006B15AC"/>
    <w:rsid w:val="006B18AF"/>
    <w:rsid w:val="006B2088"/>
    <w:rsid w:val="006B27AA"/>
    <w:rsid w:val="006B2957"/>
    <w:rsid w:val="006B350A"/>
    <w:rsid w:val="006B366E"/>
    <w:rsid w:val="006B39D5"/>
    <w:rsid w:val="006B3D62"/>
    <w:rsid w:val="006B4384"/>
    <w:rsid w:val="006B45ED"/>
    <w:rsid w:val="006B4626"/>
    <w:rsid w:val="006B4F29"/>
    <w:rsid w:val="006B569B"/>
    <w:rsid w:val="006B5B17"/>
    <w:rsid w:val="006B5B8E"/>
    <w:rsid w:val="006B5DD1"/>
    <w:rsid w:val="006B6BAC"/>
    <w:rsid w:val="006B72EB"/>
    <w:rsid w:val="006B74F4"/>
    <w:rsid w:val="006B7679"/>
    <w:rsid w:val="006B768D"/>
    <w:rsid w:val="006B7A4A"/>
    <w:rsid w:val="006B7D3F"/>
    <w:rsid w:val="006C017C"/>
    <w:rsid w:val="006C0937"/>
    <w:rsid w:val="006C121A"/>
    <w:rsid w:val="006C16D5"/>
    <w:rsid w:val="006C1713"/>
    <w:rsid w:val="006C1717"/>
    <w:rsid w:val="006C1EA8"/>
    <w:rsid w:val="006C2758"/>
    <w:rsid w:val="006C27AB"/>
    <w:rsid w:val="006C2AE3"/>
    <w:rsid w:val="006C3229"/>
    <w:rsid w:val="006C34CE"/>
    <w:rsid w:val="006C3941"/>
    <w:rsid w:val="006C3A35"/>
    <w:rsid w:val="006C3C72"/>
    <w:rsid w:val="006C400D"/>
    <w:rsid w:val="006C4114"/>
    <w:rsid w:val="006C4482"/>
    <w:rsid w:val="006C44EF"/>
    <w:rsid w:val="006C4905"/>
    <w:rsid w:val="006C4BC6"/>
    <w:rsid w:val="006C4EA5"/>
    <w:rsid w:val="006C5201"/>
    <w:rsid w:val="006C526F"/>
    <w:rsid w:val="006C58B9"/>
    <w:rsid w:val="006C59B2"/>
    <w:rsid w:val="006C5D94"/>
    <w:rsid w:val="006C69FD"/>
    <w:rsid w:val="006C6C28"/>
    <w:rsid w:val="006C7C81"/>
    <w:rsid w:val="006C7E53"/>
    <w:rsid w:val="006D0307"/>
    <w:rsid w:val="006D06C4"/>
    <w:rsid w:val="006D08B5"/>
    <w:rsid w:val="006D0A3D"/>
    <w:rsid w:val="006D0DBE"/>
    <w:rsid w:val="006D14FE"/>
    <w:rsid w:val="006D17CF"/>
    <w:rsid w:val="006D1A17"/>
    <w:rsid w:val="006D1B8A"/>
    <w:rsid w:val="006D1C0B"/>
    <w:rsid w:val="006D1CA6"/>
    <w:rsid w:val="006D2B0A"/>
    <w:rsid w:val="006D2D24"/>
    <w:rsid w:val="006D3BFA"/>
    <w:rsid w:val="006D3DBF"/>
    <w:rsid w:val="006D3DF1"/>
    <w:rsid w:val="006D4144"/>
    <w:rsid w:val="006D43CD"/>
    <w:rsid w:val="006D464E"/>
    <w:rsid w:val="006D46F3"/>
    <w:rsid w:val="006D563D"/>
    <w:rsid w:val="006D5D4A"/>
    <w:rsid w:val="006D61F3"/>
    <w:rsid w:val="006D65C6"/>
    <w:rsid w:val="006D6724"/>
    <w:rsid w:val="006D6A46"/>
    <w:rsid w:val="006D6FDD"/>
    <w:rsid w:val="006D725B"/>
    <w:rsid w:val="006D7536"/>
    <w:rsid w:val="006D769E"/>
    <w:rsid w:val="006D78C6"/>
    <w:rsid w:val="006E03C2"/>
    <w:rsid w:val="006E049C"/>
    <w:rsid w:val="006E0638"/>
    <w:rsid w:val="006E074F"/>
    <w:rsid w:val="006E15E7"/>
    <w:rsid w:val="006E16B5"/>
    <w:rsid w:val="006E189D"/>
    <w:rsid w:val="006E1D62"/>
    <w:rsid w:val="006E1D6C"/>
    <w:rsid w:val="006E1FF6"/>
    <w:rsid w:val="006E20EA"/>
    <w:rsid w:val="006E23D7"/>
    <w:rsid w:val="006E280A"/>
    <w:rsid w:val="006E29D3"/>
    <w:rsid w:val="006E2BE1"/>
    <w:rsid w:val="006E2C43"/>
    <w:rsid w:val="006E2CD5"/>
    <w:rsid w:val="006E3CA9"/>
    <w:rsid w:val="006E4261"/>
    <w:rsid w:val="006E43FD"/>
    <w:rsid w:val="006E4614"/>
    <w:rsid w:val="006E53DB"/>
    <w:rsid w:val="006E555F"/>
    <w:rsid w:val="006E5A73"/>
    <w:rsid w:val="006E5B2D"/>
    <w:rsid w:val="006E67E7"/>
    <w:rsid w:val="006E6802"/>
    <w:rsid w:val="006E6B0E"/>
    <w:rsid w:val="006E6D58"/>
    <w:rsid w:val="006E6EFD"/>
    <w:rsid w:val="006E700E"/>
    <w:rsid w:val="006E7108"/>
    <w:rsid w:val="006E71BA"/>
    <w:rsid w:val="006E724B"/>
    <w:rsid w:val="006E72C5"/>
    <w:rsid w:val="006E7ABF"/>
    <w:rsid w:val="006E7F2C"/>
    <w:rsid w:val="006F01D8"/>
    <w:rsid w:val="006F02E0"/>
    <w:rsid w:val="006F05D4"/>
    <w:rsid w:val="006F075B"/>
    <w:rsid w:val="006F0B37"/>
    <w:rsid w:val="006F0F68"/>
    <w:rsid w:val="006F17EB"/>
    <w:rsid w:val="006F18C0"/>
    <w:rsid w:val="006F2045"/>
    <w:rsid w:val="006F2E8F"/>
    <w:rsid w:val="006F37CE"/>
    <w:rsid w:val="006F39F9"/>
    <w:rsid w:val="006F441D"/>
    <w:rsid w:val="006F47DB"/>
    <w:rsid w:val="006F51CA"/>
    <w:rsid w:val="006F61AB"/>
    <w:rsid w:val="006F62AC"/>
    <w:rsid w:val="006F7005"/>
    <w:rsid w:val="006F7173"/>
    <w:rsid w:val="006F7494"/>
    <w:rsid w:val="006F7814"/>
    <w:rsid w:val="006F7CD9"/>
    <w:rsid w:val="00700231"/>
    <w:rsid w:val="00700970"/>
    <w:rsid w:val="00702DA8"/>
    <w:rsid w:val="00703164"/>
    <w:rsid w:val="0070386A"/>
    <w:rsid w:val="00703A7F"/>
    <w:rsid w:val="00703CC1"/>
    <w:rsid w:val="00704067"/>
    <w:rsid w:val="007040FA"/>
    <w:rsid w:val="0070414A"/>
    <w:rsid w:val="0070482B"/>
    <w:rsid w:val="007050C1"/>
    <w:rsid w:val="00705227"/>
    <w:rsid w:val="0070561C"/>
    <w:rsid w:val="00705707"/>
    <w:rsid w:val="0070606E"/>
    <w:rsid w:val="007062BB"/>
    <w:rsid w:val="00706642"/>
    <w:rsid w:val="0070669D"/>
    <w:rsid w:val="007066C7"/>
    <w:rsid w:val="00706E63"/>
    <w:rsid w:val="00706EF9"/>
    <w:rsid w:val="007070F5"/>
    <w:rsid w:val="0070723B"/>
    <w:rsid w:val="0070726B"/>
    <w:rsid w:val="0070743C"/>
    <w:rsid w:val="00707631"/>
    <w:rsid w:val="00707ADB"/>
    <w:rsid w:val="00707BA9"/>
    <w:rsid w:val="00707E27"/>
    <w:rsid w:val="007107B5"/>
    <w:rsid w:val="00710FA4"/>
    <w:rsid w:val="00711196"/>
    <w:rsid w:val="00711559"/>
    <w:rsid w:val="0071181F"/>
    <w:rsid w:val="00711A5E"/>
    <w:rsid w:val="00711C3D"/>
    <w:rsid w:val="00711D34"/>
    <w:rsid w:val="00712313"/>
    <w:rsid w:val="00712328"/>
    <w:rsid w:val="007123FC"/>
    <w:rsid w:val="00712718"/>
    <w:rsid w:val="00712DE2"/>
    <w:rsid w:val="0071304C"/>
    <w:rsid w:val="00713086"/>
    <w:rsid w:val="00713452"/>
    <w:rsid w:val="007135B5"/>
    <w:rsid w:val="007137C9"/>
    <w:rsid w:val="0071385E"/>
    <w:rsid w:val="007142D7"/>
    <w:rsid w:val="00714819"/>
    <w:rsid w:val="00714949"/>
    <w:rsid w:val="00714EE9"/>
    <w:rsid w:val="00715095"/>
    <w:rsid w:val="00715498"/>
    <w:rsid w:val="007154A8"/>
    <w:rsid w:val="00715511"/>
    <w:rsid w:val="00715913"/>
    <w:rsid w:val="00716105"/>
    <w:rsid w:val="00716798"/>
    <w:rsid w:val="00716884"/>
    <w:rsid w:val="00716A60"/>
    <w:rsid w:val="007170B6"/>
    <w:rsid w:val="007172E2"/>
    <w:rsid w:val="00717BBA"/>
    <w:rsid w:val="00717EE2"/>
    <w:rsid w:val="0072050B"/>
    <w:rsid w:val="00720556"/>
    <w:rsid w:val="0072067E"/>
    <w:rsid w:val="00720C13"/>
    <w:rsid w:val="00721546"/>
    <w:rsid w:val="00721658"/>
    <w:rsid w:val="00721746"/>
    <w:rsid w:val="00721914"/>
    <w:rsid w:val="00721B2F"/>
    <w:rsid w:val="00721C1E"/>
    <w:rsid w:val="00721CA2"/>
    <w:rsid w:val="007222EE"/>
    <w:rsid w:val="00722806"/>
    <w:rsid w:val="00722C1F"/>
    <w:rsid w:val="0072378D"/>
    <w:rsid w:val="00723B26"/>
    <w:rsid w:val="00723F5B"/>
    <w:rsid w:val="00724B10"/>
    <w:rsid w:val="007253E8"/>
    <w:rsid w:val="00725417"/>
    <w:rsid w:val="0072552E"/>
    <w:rsid w:val="0072575E"/>
    <w:rsid w:val="00725A56"/>
    <w:rsid w:val="00725D32"/>
    <w:rsid w:val="00726460"/>
    <w:rsid w:val="007264F6"/>
    <w:rsid w:val="00726B11"/>
    <w:rsid w:val="007270A5"/>
    <w:rsid w:val="00727141"/>
    <w:rsid w:val="00727287"/>
    <w:rsid w:val="007276C2"/>
    <w:rsid w:val="00727A1B"/>
    <w:rsid w:val="00727DCC"/>
    <w:rsid w:val="00730201"/>
    <w:rsid w:val="0073047B"/>
    <w:rsid w:val="0073054E"/>
    <w:rsid w:val="00730A8E"/>
    <w:rsid w:val="00730E39"/>
    <w:rsid w:val="007313CD"/>
    <w:rsid w:val="00731713"/>
    <w:rsid w:val="00731BF3"/>
    <w:rsid w:val="00731EAB"/>
    <w:rsid w:val="00732058"/>
    <w:rsid w:val="0073229F"/>
    <w:rsid w:val="0073237C"/>
    <w:rsid w:val="00732523"/>
    <w:rsid w:val="007329C3"/>
    <w:rsid w:val="007332A7"/>
    <w:rsid w:val="007336EE"/>
    <w:rsid w:val="00733C45"/>
    <w:rsid w:val="00733CDF"/>
    <w:rsid w:val="00733E62"/>
    <w:rsid w:val="00734108"/>
    <w:rsid w:val="007341C9"/>
    <w:rsid w:val="00734232"/>
    <w:rsid w:val="007343B4"/>
    <w:rsid w:val="007343D8"/>
    <w:rsid w:val="007344A2"/>
    <w:rsid w:val="00734776"/>
    <w:rsid w:val="00734FD3"/>
    <w:rsid w:val="007350A9"/>
    <w:rsid w:val="007356CD"/>
    <w:rsid w:val="00735CF4"/>
    <w:rsid w:val="00736036"/>
    <w:rsid w:val="00736919"/>
    <w:rsid w:val="0073697F"/>
    <w:rsid w:val="00737137"/>
    <w:rsid w:val="0074055B"/>
    <w:rsid w:val="00741154"/>
    <w:rsid w:val="00741186"/>
    <w:rsid w:val="00741701"/>
    <w:rsid w:val="007419E2"/>
    <w:rsid w:val="00741C29"/>
    <w:rsid w:val="00741C9A"/>
    <w:rsid w:val="00741CF1"/>
    <w:rsid w:val="00741E36"/>
    <w:rsid w:val="00742416"/>
    <w:rsid w:val="007426A6"/>
    <w:rsid w:val="00742D35"/>
    <w:rsid w:val="00742DF0"/>
    <w:rsid w:val="00742FED"/>
    <w:rsid w:val="007432FE"/>
    <w:rsid w:val="00743B3E"/>
    <w:rsid w:val="00743CEE"/>
    <w:rsid w:val="00744191"/>
    <w:rsid w:val="007444F2"/>
    <w:rsid w:val="0074460C"/>
    <w:rsid w:val="00745B99"/>
    <w:rsid w:val="007461CC"/>
    <w:rsid w:val="007462DA"/>
    <w:rsid w:val="00746683"/>
    <w:rsid w:val="007466DC"/>
    <w:rsid w:val="00746A3E"/>
    <w:rsid w:val="00746B1A"/>
    <w:rsid w:val="007471B2"/>
    <w:rsid w:val="007471FE"/>
    <w:rsid w:val="00747CCA"/>
    <w:rsid w:val="00747E37"/>
    <w:rsid w:val="007500C5"/>
    <w:rsid w:val="00750CAC"/>
    <w:rsid w:val="00750ED7"/>
    <w:rsid w:val="00750FF9"/>
    <w:rsid w:val="00751128"/>
    <w:rsid w:val="00751276"/>
    <w:rsid w:val="007513FD"/>
    <w:rsid w:val="0075153C"/>
    <w:rsid w:val="007516B5"/>
    <w:rsid w:val="007517B5"/>
    <w:rsid w:val="00751AC2"/>
    <w:rsid w:val="00751B00"/>
    <w:rsid w:val="0075257D"/>
    <w:rsid w:val="0075275E"/>
    <w:rsid w:val="00752AE6"/>
    <w:rsid w:val="00752F33"/>
    <w:rsid w:val="00752F80"/>
    <w:rsid w:val="007532AD"/>
    <w:rsid w:val="007535EA"/>
    <w:rsid w:val="00753CA2"/>
    <w:rsid w:val="00753DF0"/>
    <w:rsid w:val="00753F2C"/>
    <w:rsid w:val="00753FF9"/>
    <w:rsid w:val="007540FC"/>
    <w:rsid w:val="007545FC"/>
    <w:rsid w:val="00754738"/>
    <w:rsid w:val="00755072"/>
    <w:rsid w:val="007551B6"/>
    <w:rsid w:val="0075537C"/>
    <w:rsid w:val="00755A60"/>
    <w:rsid w:val="00755CCE"/>
    <w:rsid w:val="00755D55"/>
    <w:rsid w:val="00755EA5"/>
    <w:rsid w:val="00756123"/>
    <w:rsid w:val="0075695E"/>
    <w:rsid w:val="00756E6D"/>
    <w:rsid w:val="00756F5D"/>
    <w:rsid w:val="00757074"/>
    <w:rsid w:val="007570BE"/>
    <w:rsid w:val="00757498"/>
    <w:rsid w:val="007574D7"/>
    <w:rsid w:val="007574D9"/>
    <w:rsid w:val="00757589"/>
    <w:rsid w:val="00757D85"/>
    <w:rsid w:val="0076008C"/>
    <w:rsid w:val="007606BE"/>
    <w:rsid w:val="00760703"/>
    <w:rsid w:val="007607FC"/>
    <w:rsid w:val="00760853"/>
    <w:rsid w:val="0076109A"/>
    <w:rsid w:val="0076147C"/>
    <w:rsid w:val="00761601"/>
    <w:rsid w:val="007619DC"/>
    <w:rsid w:val="00761C03"/>
    <w:rsid w:val="007622E1"/>
    <w:rsid w:val="007623F3"/>
    <w:rsid w:val="007627FD"/>
    <w:rsid w:val="00762D92"/>
    <w:rsid w:val="00762F7E"/>
    <w:rsid w:val="00763199"/>
    <w:rsid w:val="0076325E"/>
    <w:rsid w:val="0076345D"/>
    <w:rsid w:val="0076366B"/>
    <w:rsid w:val="0076397A"/>
    <w:rsid w:val="00764445"/>
    <w:rsid w:val="007644F6"/>
    <w:rsid w:val="00764714"/>
    <w:rsid w:val="00764A47"/>
    <w:rsid w:val="00764AF9"/>
    <w:rsid w:val="00764D79"/>
    <w:rsid w:val="007655F2"/>
    <w:rsid w:val="00765BA9"/>
    <w:rsid w:val="0076640A"/>
    <w:rsid w:val="00766771"/>
    <w:rsid w:val="007668F0"/>
    <w:rsid w:val="00766E29"/>
    <w:rsid w:val="00766E79"/>
    <w:rsid w:val="00767312"/>
    <w:rsid w:val="00767458"/>
    <w:rsid w:val="00767494"/>
    <w:rsid w:val="00767BF2"/>
    <w:rsid w:val="00767F1B"/>
    <w:rsid w:val="00767F76"/>
    <w:rsid w:val="00767FAB"/>
    <w:rsid w:val="00770248"/>
    <w:rsid w:val="00770283"/>
    <w:rsid w:val="0077036F"/>
    <w:rsid w:val="007703D4"/>
    <w:rsid w:val="00770680"/>
    <w:rsid w:val="00770A3A"/>
    <w:rsid w:val="00770BE1"/>
    <w:rsid w:val="0077100D"/>
    <w:rsid w:val="007714E6"/>
    <w:rsid w:val="00771C73"/>
    <w:rsid w:val="00772671"/>
    <w:rsid w:val="00773063"/>
    <w:rsid w:val="007732E1"/>
    <w:rsid w:val="00773427"/>
    <w:rsid w:val="00773B4C"/>
    <w:rsid w:val="00773B94"/>
    <w:rsid w:val="0077400A"/>
    <w:rsid w:val="0077515F"/>
    <w:rsid w:val="00775352"/>
    <w:rsid w:val="007756C1"/>
    <w:rsid w:val="00775817"/>
    <w:rsid w:val="00775B1E"/>
    <w:rsid w:val="00775EF5"/>
    <w:rsid w:val="0077604F"/>
    <w:rsid w:val="007764A6"/>
    <w:rsid w:val="00776DC9"/>
    <w:rsid w:val="00777162"/>
    <w:rsid w:val="007773D1"/>
    <w:rsid w:val="007775F6"/>
    <w:rsid w:val="007776E6"/>
    <w:rsid w:val="007776F0"/>
    <w:rsid w:val="00777BB2"/>
    <w:rsid w:val="00777D70"/>
    <w:rsid w:val="00777F99"/>
    <w:rsid w:val="0078042C"/>
    <w:rsid w:val="0078050A"/>
    <w:rsid w:val="00780B68"/>
    <w:rsid w:val="00780C19"/>
    <w:rsid w:val="00780E0A"/>
    <w:rsid w:val="0078103A"/>
    <w:rsid w:val="0078114E"/>
    <w:rsid w:val="007813EC"/>
    <w:rsid w:val="0078142B"/>
    <w:rsid w:val="00781473"/>
    <w:rsid w:val="00781E3F"/>
    <w:rsid w:val="007821B6"/>
    <w:rsid w:val="00782596"/>
    <w:rsid w:val="00782A3E"/>
    <w:rsid w:val="00782A8F"/>
    <w:rsid w:val="00782D13"/>
    <w:rsid w:val="007835C0"/>
    <w:rsid w:val="00783DA5"/>
    <w:rsid w:val="00783E85"/>
    <w:rsid w:val="00784170"/>
    <w:rsid w:val="00785388"/>
    <w:rsid w:val="007859C5"/>
    <w:rsid w:val="00785B05"/>
    <w:rsid w:val="00785DFB"/>
    <w:rsid w:val="00785F1C"/>
    <w:rsid w:val="0078622F"/>
    <w:rsid w:val="00786B7E"/>
    <w:rsid w:val="00786C7B"/>
    <w:rsid w:val="00787265"/>
    <w:rsid w:val="00787912"/>
    <w:rsid w:val="00787C67"/>
    <w:rsid w:val="0079017A"/>
    <w:rsid w:val="00790882"/>
    <w:rsid w:val="00790925"/>
    <w:rsid w:val="00790AD0"/>
    <w:rsid w:val="00790AEC"/>
    <w:rsid w:val="00790E10"/>
    <w:rsid w:val="00790E79"/>
    <w:rsid w:val="00790FF2"/>
    <w:rsid w:val="00791125"/>
    <w:rsid w:val="00791355"/>
    <w:rsid w:val="00791371"/>
    <w:rsid w:val="0079196A"/>
    <w:rsid w:val="00791C6C"/>
    <w:rsid w:val="00791CA5"/>
    <w:rsid w:val="00791E25"/>
    <w:rsid w:val="00792B68"/>
    <w:rsid w:val="00792C50"/>
    <w:rsid w:val="007932CC"/>
    <w:rsid w:val="00793551"/>
    <w:rsid w:val="007937DC"/>
    <w:rsid w:val="0079413D"/>
    <w:rsid w:val="00794542"/>
    <w:rsid w:val="00794B4A"/>
    <w:rsid w:val="00794C5A"/>
    <w:rsid w:val="007957F9"/>
    <w:rsid w:val="007959CC"/>
    <w:rsid w:val="00795F73"/>
    <w:rsid w:val="007967CB"/>
    <w:rsid w:val="007967F8"/>
    <w:rsid w:val="00796E06"/>
    <w:rsid w:val="00796E34"/>
    <w:rsid w:val="007971F7"/>
    <w:rsid w:val="00797347"/>
    <w:rsid w:val="007A004F"/>
    <w:rsid w:val="007A0361"/>
    <w:rsid w:val="007A0750"/>
    <w:rsid w:val="007A09C6"/>
    <w:rsid w:val="007A0F48"/>
    <w:rsid w:val="007A1253"/>
    <w:rsid w:val="007A130E"/>
    <w:rsid w:val="007A155A"/>
    <w:rsid w:val="007A1763"/>
    <w:rsid w:val="007A1AE5"/>
    <w:rsid w:val="007A1F35"/>
    <w:rsid w:val="007A2426"/>
    <w:rsid w:val="007A2BE5"/>
    <w:rsid w:val="007A2CCD"/>
    <w:rsid w:val="007A2DC1"/>
    <w:rsid w:val="007A2E4B"/>
    <w:rsid w:val="007A305F"/>
    <w:rsid w:val="007A3CCE"/>
    <w:rsid w:val="007A3E6B"/>
    <w:rsid w:val="007A428F"/>
    <w:rsid w:val="007A42C5"/>
    <w:rsid w:val="007A4BBF"/>
    <w:rsid w:val="007A4E9E"/>
    <w:rsid w:val="007A5CF8"/>
    <w:rsid w:val="007A632A"/>
    <w:rsid w:val="007A633A"/>
    <w:rsid w:val="007A6380"/>
    <w:rsid w:val="007A6666"/>
    <w:rsid w:val="007A6680"/>
    <w:rsid w:val="007A6688"/>
    <w:rsid w:val="007A742E"/>
    <w:rsid w:val="007A7430"/>
    <w:rsid w:val="007A7443"/>
    <w:rsid w:val="007A76FA"/>
    <w:rsid w:val="007A77A4"/>
    <w:rsid w:val="007A7AE2"/>
    <w:rsid w:val="007A7F48"/>
    <w:rsid w:val="007B0010"/>
    <w:rsid w:val="007B00CA"/>
    <w:rsid w:val="007B01B6"/>
    <w:rsid w:val="007B04A4"/>
    <w:rsid w:val="007B0A77"/>
    <w:rsid w:val="007B0D0C"/>
    <w:rsid w:val="007B0F67"/>
    <w:rsid w:val="007B1034"/>
    <w:rsid w:val="007B1191"/>
    <w:rsid w:val="007B1463"/>
    <w:rsid w:val="007B1A7B"/>
    <w:rsid w:val="007B1AA5"/>
    <w:rsid w:val="007B1BB4"/>
    <w:rsid w:val="007B1E2A"/>
    <w:rsid w:val="007B1F58"/>
    <w:rsid w:val="007B2652"/>
    <w:rsid w:val="007B26DF"/>
    <w:rsid w:val="007B2983"/>
    <w:rsid w:val="007B2B40"/>
    <w:rsid w:val="007B2DF6"/>
    <w:rsid w:val="007B2FAF"/>
    <w:rsid w:val="007B302D"/>
    <w:rsid w:val="007B31E7"/>
    <w:rsid w:val="007B3593"/>
    <w:rsid w:val="007B386E"/>
    <w:rsid w:val="007B397F"/>
    <w:rsid w:val="007B3D2E"/>
    <w:rsid w:val="007B3EE3"/>
    <w:rsid w:val="007B435D"/>
    <w:rsid w:val="007B4711"/>
    <w:rsid w:val="007B4E11"/>
    <w:rsid w:val="007B5302"/>
    <w:rsid w:val="007B53DE"/>
    <w:rsid w:val="007B5543"/>
    <w:rsid w:val="007B558A"/>
    <w:rsid w:val="007B5735"/>
    <w:rsid w:val="007B5996"/>
    <w:rsid w:val="007B5C51"/>
    <w:rsid w:val="007B5E90"/>
    <w:rsid w:val="007B658D"/>
    <w:rsid w:val="007B67DA"/>
    <w:rsid w:val="007B69D6"/>
    <w:rsid w:val="007B6EED"/>
    <w:rsid w:val="007B6F2C"/>
    <w:rsid w:val="007B7477"/>
    <w:rsid w:val="007B7A3A"/>
    <w:rsid w:val="007B7FD1"/>
    <w:rsid w:val="007C06B9"/>
    <w:rsid w:val="007C126D"/>
    <w:rsid w:val="007C15EA"/>
    <w:rsid w:val="007C16A5"/>
    <w:rsid w:val="007C1757"/>
    <w:rsid w:val="007C1925"/>
    <w:rsid w:val="007C1934"/>
    <w:rsid w:val="007C1B83"/>
    <w:rsid w:val="007C1D3D"/>
    <w:rsid w:val="007C1F3F"/>
    <w:rsid w:val="007C21C2"/>
    <w:rsid w:val="007C24B1"/>
    <w:rsid w:val="007C2B3B"/>
    <w:rsid w:val="007C2C2D"/>
    <w:rsid w:val="007C2F68"/>
    <w:rsid w:val="007C30A2"/>
    <w:rsid w:val="007C310C"/>
    <w:rsid w:val="007C3408"/>
    <w:rsid w:val="007C3522"/>
    <w:rsid w:val="007C38F4"/>
    <w:rsid w:val="007C404B"/>
    <w:rsid w:val="007C40F9"/>
    <w:rsid w:val="007C4221"/>
    <w:rsid w:val="007C43B7"/>
    <w:rsid w:val="007C47A0"/>
    <w:rsid w:val="007C48FE"/>
    <w:rsid w:val="007C4953"/>
    <w:rsid w:val="007C4DD5"/>
    <w:rsid w:val="007C4E54"/>
    <w:rsid w:val="007C51E3"/>
    <w:rsid w:val="007C5420"/>
    <w:rsid w:val="007C55B0"/>
    <w:rsid w:val="007C5617"/>
    <w:rsid w:val="007C5A16"/>
    <w:rsid w:val="007C5BAB"/>
    <w:rsid w:val="007C65A0"/>
    <w:rsid w:val="007C67BA"/>
    <w:rsid w:val="007C6A19"/>
    <w:rsid w:val="007C6D0A"/>
    <w:rsid w:val="007C6E47"/>
    <w:rsid w:val="007C7046"/>
    <w:rsid w:val="007C736B"/>
    <w:rsid w:val="007C770D"/>
    <w:rsid w:val="007C77D0"/>
    <w:rsid w:val="007C79B8"/>
    <w:rsid w:val="007C7B3C"/>
    <w:rsid w:val="007C7B68"/>
    <w:rsid w:val="007C7F42"/>
    <w:rsid w:val="007D02C8"/>
    <w:rsid w:val="007D031C"/>
    <w:rsid w:val="007D09AF"/>
    <w:rsid w:val="007D0B60"/>
    <w:rsid w:val="007D0C5D"/>
    <w:rsid w:val="007D0DAB"/>
    <w:rsid w:val="007D1767"/>
    <w:rsid w:val="007D18B2"/>
    <w:rsid w:val="007D199E"/>
    <w:rsid w:val="007D1B82"/>
    <w:rsid w:val="007D1D9E"/>
    <w:rsid w:val="007D2234"/>
    <w:rsid w:val="007D23F9"/>
    <w:rsid w:val="007D25E6"/>
    <w:rsid w:val="007D2B34"/>
    <w:rsid w:val="007D33FD"/>
    <w:rsid w:val="007D346A"/>
    <w:rsid w:val="007D3BFC"/>
    <w:rsid w:val="007D3F17"/>
    <w:rsid w:val="007D40A9"/>
    <w:rsid w:val="007D40F4"/>
    <w:rsid w:val="007D4355"/>
    <w:rsid w:val="007D45D1"/>
    <w:rsid w:val="007D4801"/>
    <w:rsid w:val="007D5019"/>
    <w:rsid w:val="007D506C"/>
    <w:rsid w:val="007D57BD"/>
    <w:rsid w:val="007D582A"/>
    <w:rsid w:val="007D5E70"/>
    <w:rsid w:val="007D6E3A"/>
    <w:rsid w:val="007D70FA"/>
    <w:rsid w:val="007D719A"/>
    <w:rsid w:val="007D7719"/>
    <w:rsid w:val="007D7A1A"/>
    <w:rsid w:val="007E0366"/>
    <w:rsid w:val="007E0A75"/>
    <w:rsid w:val="007E0ABA"/>
    <w:rsid w:val="007E0EF3"/>
    <w:rsid w:val="007E1192"/>
    <w:rsid w:val="007E13A5"/>
    <w:rsid w:val="007E14E4"/>
    <w:rsid w:val="007E1774"/>
    <w:rsid w:val="007E187F"/>
    <w:rsid w:val="007E2191"/>
    <w:rsid w:val="007E21FC"/>
    <w:rsid w:val="007E241D"/>
    <w:rsid w:val="007E266B"/>
    <w:rsid w:val="007E27BC"/>
    <w:rsid w:val="007E29B6"/>
    <w:rsid w:val="007E2B53"/>
    <w:rsid w:val="007E2F34"/>
    <w:rsid w:val="007E2F5D"/>
    <w:rsid w:val="007E35F9"/>
    <w:rsid w:val="007E36EC"/>
    <w:rsid w:val="007E3936"/>
    <w:rsid w:val="007E3F1E"/>
    <w:rsid w:val="007E4199"/>
    <w:rsid w:val="007E4669"/>
    <w:rsid w:val="007E4D1D"/>
    <w:rsid w:val="007E5544"/>
    <w:rsid w:val="007E58CA"/>
    <w:rsid w:val="007E5EA1"/>
    <w:rsid w:val="007E5FB8"/>
    <w:rsid w:val="007E617B"/>
    <w:rsid w:val="007E6726"/>
    <w:rsid w:val="007E6753"/>
    <w:rsid w:val="007E6F90"/>
    <w:rsid w:val="007E714F"/>
    <w:rsid w:val="007E71A9"/>
    <w:rsid w:val="007E71CE"/>
    <w:rsid w:val="007E72F1"/>
    <w:rsid w:val="007E73DB"/>
    <w:rsid w:val="007E7C0F"/>
    <w:rsid w:val="007E7F74"/>
    <w:rsid w:val="007E7FF1"/>
    <w:rsid w:val="007F02FF"/>
    <w:rsid w:val="007F08A8"/>
    <w:rsid w:val="007F0A43"/>
    <w:rsid w:val="007F0ACE"/>
    <w:rsid w:val="007F1611"/>
    <w:rsid w:val="007F1A79"/>
    <w:rsid w:val="007F2793"/>
    <w:rsid w:val="007F2ADA"/>
    <w:rsid w:val="007F2BEA"/>
    <w:rsid w:val="007F2EA2"/>
    <w:rsid w:val="007F2F6F"/>
    <w:rsid w:val="007F3388"/>
    <w:rsid w:val="007F33F9"/>
    <w:rsid w:val="007F347D"/>
    <w:rsid w:val="007F3873"/>
    <w:rsid w:val="007F3928"/>
    <w:rsid w:val="007F3DC3"/>
    <w:rsid w:val="007F44C2"/>
    <w:rsid w:val="007F4626"/>
    <w:rsid w:val="007F4DB2"/>
    <w:rsid w:val="007F533E"/>
    <w:rsid w:val="007F59C1"/>
    <w:rsid w:val="007F6283"/>
    <w:rsid w:val="007F64D6"/>
    <w:rsid w:val="007F68C9"/>
    <w:rsid w:val="007F6CA1"/>
    <w:rsid w:val="007F6FA7"/>
    <w:rsid w:val="007F725A"/>
    <w:rsid w:val="007F7387"/>
    <w:rsid w:val="007F7398"/>
    <w:rsid w:val="007F759F"/>
    <w:rsid w:val="007F78A7"/>
    <w:rsid w:val="007F7F55"/>
    <w:rsid w:val="007F7FAD"/>
    <w:rsid w:val="00800383"/>
    <w:rsid w:val="00800432"/>
    <w:rsid w:val="008005FF"/>
    <w:rsid w:val="008006FF"/>
    <w:rsid w:val="008011E3"/>
    <w:rsid w:val="00801329"/>
    <w:rsid w:val="00801CC9"/>
    <w:rsid w:val="00801EDE"/>
    <w:rsid w:val="00801EF9"/>
    <w:rsid w:val="0080245B"/>
    <w:rsid w:val="00802738"/>
    <w:rsid w:val="00802CDC"/>
    <w:rsid w:val="00803105"/>
    <w:rsid w:val="008033EC"/>
    <w:rsid w:val="00803600"/>
    <w:rsid w:val="00803BE2"/>
    <w:rsid w:val="00803D02"/>
    <w:rsid w:val="00803D9F"/>
    <w:rsid w:val="0080429D"/>
    <w:rsid w:val="008043AE"/>
    <w:rsid w:val="008043F6"/>
    <w:rsid w:val="00804B09"/>
    <w:rsid w:val="00805850"/>
    <w:rsid w:val="00805956"/>
    <w:rsid w:val="008062AA"/>
    <w:rsid w:val="0080660E"/>
    <w:rsid w:val="0080698E"/>
    <w:rsid w:val="00806A2D"/>
    <w:rsid w:val="00806AFE"/>
    <w:rsid w:val="00806DB0"/>
    <w:rsid w:val="00806DEE"/>
    <w:rsid w:val="0080720F"/>
    <w:rsid w:val="00807626"/>
    <w:rsid w:val="00807705"/>
    <w:rsid w:val="00807C06"/>
    <w:rsid w:val="00810947"/>
    <w:rsid w:val="00810BB0"/>
    <w:rsid w:val="00811363"/>
    <w:rsid w:val="00811535"/>
    <w:rsid w:val="008117B1"/>
    <w:rsid w:val="008119C1"/>
    <w:rsid w:val="00811A95"/>
    <w:rsid w:val="00811D09"/>
    <w:rsid w:val="00811E30"/>
    <w:rsid w:val="00811E41"/>
    <w:rsid w:val="00811E82"/>
    <w:rsid w:val="00811F26"/>
    <w:rsid w:val="00811FD0"/>
    <w:rsid w:val="00812357"/>
    <w:rsid w:val="008129A7"/>
    <w:rsid w:val="00812A68"/>
    <w:rsid w:val="00812DB2"/>
    <w:rsid w:val="00812F13"/>
    <w:rsid w:val="0081335E"/>
    <w:rsid w:val="0081392A"/>
    <w:rsid w:val="00813D1A"/>
    <w:rsid w:val="00813EFD"/>
    <w:rsid w:val="0081448E"/>
    <w:rsid w:val="00814675"/>
    <w:rsid w:val="00814F77"/>
    <w:rsid w:val="00815118"/>
    <w:rsid w:val="00815166"/>
    <w:rsid w:val="00815D58"/>
    <w:rsid w:val="00815E68"/>
    <w:rsid w:val="00816689"/>
    <w:rsid w:val="00816744"/>
    <w:rsid w:val="008167D0"/>
    <w:rsid w:val="0081694C"/>
    <w:rsid w:val="00816A75"/>
    <w:rsid w:val="00816D8B"/>
    <w:rsid w:val="00817934"/>
    <w:rsid w:val="00817FCA"/>
    <w:rsid w:val="008207D3"/>
    <w:rsid w:val="00820857"/>
    <w:rsid w:val="00820D17"/>
    <w:rsid w:val="008216DB"/>
    <w:rsid w:val="00821A70"/>
    <w:rsid w:val="008223F3"/>
    <w:rsid w:val="008225C6"/>
    <w:rsid w:val="00822EE1"/>
    <w:rsid w:val="00823205"/>
    <w:rsid w:val="00823593"/>
    <w:rsid w:val="00823613"/>
    <w:rsid w:val="00823B78"/>
    <w:rsid w:val="00823BED"/>
    <w:rsid w:val="008240D4"/>
    <w:rsid w:val="0082434C"/>
    <w:rsid w:val="00824BAB"/>
    <w:rsid w:val="00824BF5"/>
    <w:rsid w:val="0082522B"/>
    <w:rsid w:val="0082547A"/>
    <w:rsid w:val="008254CD"/>
    <w:rsid w:val="00825867"/>
    <w:rsid w:val="008264FB"/>
    <w:rsid w:val="00826A84"/>
    <w:rsid w:val="00826E60"/>
    <w:rsid w:val="00826ED3"/>
    <w:rsid w:val="008270D6"/>
    <w:rsid w:val="008271E4"/>
    <w:rsid w:val="00827361"/>
    <w:rsid w:val="00827B58"/>
    <w:rsid w:val="00827EBD"/>
    <w:rsid w:val="008300E2"/>
    <w:rsid w:val="00830193"/>
    <w:rsid w:val="00830F39"/>
    <w:rsid w:val="00830F51"/>
    <w:rsid w:val="0083150F"/>
    <w:rsid w:val="0083167E"/>
    <w:rsid w:val="008323CB"/>
    <w:rsid w:val="0083266E"/>
    <w:rsid w:val="00832AB9"/>
    <w:rsid w:val="00832C0E"/>
    <w:rsid w:val="00832F97"/>
    <w:rsid w:val="00832FCB"/>
    <w:rsid w:val="008333A3"/>
    <w:rsid w:val="008333E4"/>
    <w:rsid w:val="0083369A"/>
    <w:rsid w:val="0083369B"/>
    <w:rsid w:val="00833E0B"/>
    <w:rsid w:val="00834674"/>
    <w:rsid w:val="00834889"/>
    <w:rsid w:val="00834AAD"/>
    <w:rsid w:val="00834D38"/>
    <w:rsid w:val="00834F64"/>
    <w:rsid w:val="008352D1"/>
    <w:rsid w:val="0083532F"/>
    <w:rsid w:val="0083562B"/>
    <w:rsid w:val="00835F58"/>
    <w:rsid w:val="0083606A"/>
    <w:rsid w:val="00836F01"/>
    <w:rsid w:val="008371A0"/>
    <w:rsid w:val="008374C2"/>
    <w:rsid w:val="00837B40"/>
    <w:rsid w:val="0084002A"/>
    <w:rsid w:val="008401AA"/>
    <w:rsid w:val="00840528"/>
    <w:rsid w:val="00840A30"/>
    <w:rsid w:val="00840CB2"/>
    <w:rsid w:val="008412E9"/>
    <w:rsid w:val="0084176C"/>
    <w:rsid w:val="008420DA"/>
    <w:rsid w:val="008424CA"/>
    <w:rsid w:val="00842A17"/>
    <w:rsid w:val="00842A1F"/>
    <w:rsid w:val="00842C8C"/>
    <w:rsid w:val="00843453"/>
    <w:rsid w:val="008435A8"/>
    <w:rsid w:val="00843F0E"/>
    <w:rsid w:val="00844281"/>
    <w:rsid w:val="008444A8"/>
    <w:rsid w:val="00845A45"/>
    <w:rsid w:val="00845B65"/>
    <w:rsid w:val="00845D4E"/>
    <w:rsid w:val="0084600C"/>
    <w:rsid w:val="00846E29"/>
    <w:rsid w:val="00847000"/>
    <w:rsid w:val="0084756A"/>
    <w:rsid w:val="0085035D"/>
    <w:rsid w:val="0085060C"/>
    <w:rsid w:val="00850816"/>
    <w:rsid w:val="008509DF"/>
    <w:rsid w:val="00850D6E"/>
    <w:rsid w:val="00851123"/>
    <w:rsid w:val="008511A9"/>
    <w:rsid w:val="008511F4"/>
    <w:rsid w:val="00851599"/>
    <w:rsid w:val="008521D2"/>
    <w:rsid w:val="0085248B"/>
    <w:rsid w:val="0085269B"/>
    <w:rsid w:val="008526D9"/>
    <w:rsid w:val="0085323C"/>
    <w:rsid w:val="008533E4"/>
    <w:rsid w:val="008538CD"/>
    <w:rsid w:val="00853A97"/>
    <w:rsid w:val="00854CF9"/>
    <w:rsid w:val="008550E5"/>
    <w:rsid w:val="008552AA"/>
    <w:rsid w:val="0085534C"/>
    <w:rsid w:val="00855527"/>
    <w:rsid w:val="00855FB2"/>
    <w:rsid w:val="008562E8"/>
    <w:rsid w:val="00856654"/>
    <w:rsid w:val="008571D5"/>
    <w:rsid w:val="008578D0"/>
    <w:rsid w:val="00857AAD"/>
    <w:rsid w:val="00857CDA"/>
    <w:rsid w:val="00857E23"/>
    <w:rsid w:val="008600D8"/>
    <w:rsid w:val="00860258"/>
    <w:rsid w:val="00860594"/>
    <w:rsid w:val="00860C39"/>
    <w:rsid w:val="00860C78"/>
    <w:rsid w:val="00861245"/>
    <w:rsid w:val="00861D52"/>
    <w:rsid w:val="008620EF"/>
    <w:rsid w:val="00862123"/>
    <w:rsid w:val="008629A1"/>
    <w:rsid w:val="00862B88"/>
    <w:rsid w:val="0086372A"/>
    <w:rsid w:val="008637ED"/>
    <w:rsid w:val="00863C89"/>
    <w:rsid w:val="00863DD9"/>
    <w:rsid w:val="00864638"/>
    <w:rsid w:val="0086482B"/>
    <w:rsid w:val="00864987"/>
    <w:rsid w:val="008649C9"/>
    <w:rsid w:val="00864BD3"/>
    <w:rsid w:val="00864F68"/>
    <w:rsid w:val="0086512E"/>
    <w:rsid w:val="00865DFC"/>
    <w:rsid w:val="008667AB"/>
    <w:rsid w:val="0086687C"/>
    <w:rsid w:val="00866E8A"/>
    <w:rsid w:val="008671E1"/>
    <w:rsid w:val="008679BF"/>
    <w:rsid w:val="00867BA5"/>
    <w:rsid w:val="00870096"/>
    <w:rsid w:val="008705CD"/>
    <w:rsid w:val="0087075F"/>
    <w:rsid w:val="00871A8B"/>
    <w:rsid w:val="00871DC1"/>
    <w:rsid w:val="00872EAA"/>
    <w:rsid w:val="00873353"/>
    <w:rsid w:val="00873382"/>
    <w:rsid w:val="00873842"/>
    <w:rsid w:val="0087425D"/>
    <w:rsid w:val="00874267"/>
    <w:rsid w:val="0087452D"/>
    <w:rsid w:val="00874C67"/>
    <w:rsid w:val="00874EF6"/>
    <w:rsid w:val="00874FE4"/>
    <w:rsid w:val="00875874"/>
    <w:rsid w:val="008759B5"/>
    <w:rsid w:val="00876327"/>
    <w:rsid w:val="00877215"/>
    <w:rsid w:val="00877393"/>
    <w:rsid w:val="00877602"/>
    <w:rsid w:val="00877A67"/>
    <w:rsid w:val="00877FDB"/>
    <w:rsid w:val="00880473"/>
    <w:rsid w:val="00880C59"/>
    <w:rsid w:val="00880C9B"/>
    <w:rsid w:val="00880DED"/>
    <w:rsid w:val="00880F73"/>
    <w:rsid w:val="00881251"/>
    <w:rsid w:val="008815B7"/>
    <w:rsid w:val="0088195D"/>
    <w:rsid w:val="00882974"/>
    <w:rsid w:val="00882A62"/>
    <w:rsid w:val="00882BCD"/>
    <w:rsid w:val="0088355B"/>
    <w:rsid w:val="008838A5"/>
    <w:rsid w:val="00883E37"/>
    <w:rsid w:val="008840A5"/>
    <w:rsid w:val="008843A7"/>
    <w:rsid w:val="008847A9"/>
    <w:rsid w:val="008849CC"/>
    <w:rsid w:val="00884E97"/>
    <w:rsid w:val="00884EA5"/>
    <w:rsid w:val="00885847"/>
    <w:rsid w:val="0088585E"/>
    <w:rsid w:val="00885AB6"/>
    <w:rsid w:val="00885FA7"/>
    <w:rsid w:val="00885FF7"/>
    <w:rsid w:val="008865DB"/>
    <w:rsid w:val="008866FB"/>
    <w:rsid w:val="00886B6B"/>
    <w:rsid w:val="00886D84"/>
    <w:rsid w:val="008875B9"/>
    <w:rsid w:val="00887928"/>
    <w:rsid w:val="00887BA6"/>
    <w:rsid w:val="008900EA"/>
    <w:rsid w:val="0089044C"/>
    <w:rsid w:val="00890472"/>
    <w:rsid w:val="00890AF1"/>
    <w:rsid w:val="00891A01"/>
    <w:rsid w:val="0089240C"/>
    <w:rsid w:val="008924F3"/>
    <w:rsid w:val="00892C49"/>
    <w:rsid w:val="00892D9C"/>
    <w:rsid w:val="00892E55"/>
    <w:rsid w:val="00892F0E"/>
    <w:rsid w:val="00892F4D"/>
    <w:rsid w:val="00893AA6"/>
    <w:rsid w:val="00893AF0"/>
    <w:rsid w:val="00893B68"/>
    <w:rsid w:val="008947A1"/>
    <w:rsid w:val="008947C0"/>
    <w:rsid w:val="00894978"/>
    <w:rsid w:val="00894E0D"/>
    <w:rsid w:val="00894F1D"/>
    <w:rsid w:val="008954F8"/>
    <w:rsid w:val="00895513"/>
    <w:rsid w:val="0089574D"/>
    <w:rsid w:val="00895940"/>
    <w:rsid w:val="008961E8"/>
    <w:rsid w:val="0089637C"/>
    <w:rsid w:val="008964B2"/>
    <w:rsid w:val="008964BB"/>
    <w:rsid w:val="00896508"/>
    <w:rsid w:val="00896698"/>
    <w:rsid w:val="00897266"/>
    <w:rsid w:val="00897363"/>
    <w:rsid w:val="00897399"/>
    <w:rsid w:val="00897644"/>
    <w:rsid w:val="00897BE2"/>
    <w:rsid w:val="00897D59"/>
    <w:rsid w:val="00897D66"/>
    <w:rsid w:val="00897ECA"/>
    <w:rsid w:val="008A0D76"/>
    <w:rsid w:val="008A1156"/>
    <w:rsid w:val="008A19ED"/>
    <w:rsid w:val="008A1B01"/>
    <w:rsid w:val="008A1ED3"/>
    <w:rsid w:val="008A23CC"/>
    <w:rsid w:val="008A248C"/>
    <w:rsid w:val="008A2908"/>
    <w:rsid w:val="008A2B52"/>
    <w:rsid w:val="008A2C20"/>
    <w:rsid w:val="008A2DC6"/>
    <w:rsid w:val="008A37B0"/>
    <w:rsid w:val="008A3AA2"/>
    <w:rsid w:val="008A3C97"/>
    <w:rsid w:val="008A40B2"/>
    <w:rsid w:val="008A4720"/>
    <w:rsid w:val="008A4804"/>
    <w:rsid w:val="008A4F2A"/>
    <w:rsid w:val="008A508E"/>
    <w:rsid w:val="008A5377"/>
    <w:rsid w:val="008A5492"/>
    <w:rsid w:val="008A588D"/>
    <w:rsid w:val="008A5B42"/>
    <w:rsid w:val="008A61D5"/>
    <w:rsid w:val="008A64C4"/>
    <w:rsid w:val="008A65CB"/>
    <w:rsid w:val="008A6969"/>
    <w:rsid w:val="008A69DB"/>
    <w:rsid w:val="008A69E4"/>
    <w:rsid w:val="008A6C7A"/>
    <w:rsid w:val="008A7011"/>
    <w:rsid w:val="008A7234"/>
    <w:rsid w:val="008A72D7"/>
    <w:rsid w:val="008A77F8"/>
    <w:rsid w:val="008A79C3"/>
    <w:rsid w:val="008A7ADE"/>
    <w:rsid w:val="008A7F41"/>
    <w:rsid w:val="008A7FE8"/>
    <w:rsid w:val="008B023D"/>
    <w:rsid w:val="008B0446"/>
    <w:rsid w:val="008B0D79"/>
    <w:rsid w:val="008B14C8"/>
    <w:rsid w:val="008B1512"/>
    <w:rsid w:val="008B1519"/>
    <w:rsid w:val="008B1AC5"/>
    <w:rsid w:val="008B1D84"/>
    <w:rsid w:val="008B2211"/>
    <w:rsid w:val="008B24E3"/>
    <w:rsid w:val="008B26A1"/>
    <w:rsid w:val="008B26F9"/>
    <w:rsid w:val="008B29DF"/>
    <w:rsid w:val="008B2D4D"/>
    <w:rsid w:val="008B2DA4"/>
    <w:rsid w:val="008B2DC6"/>
    <w:rsid w:val="008B331E"/>
    <w:rsid w:val="008B34A6"/>
    <w:rsid w:val="008B355F"/>
    <w:rsid w:val="008B3B62"/>
    <w:rsid w:val="008B3E04"/>
    <w:rsid w:val="008B3E56"/>
    <w:rsid w:val="008B4075"/>
    <w:rsid w:val="008B41E5"/>
    <w:rsid w:val="008B434A"/>
    <w:rsid w:val="008B46DB"/>
    <w:rsid w:val="008B46FA"/>
    <w:rsid w:val="008B48E1"/>
    <w:rsid w:val="008B4A7E"/>
    <w:rsid w:val="008B4F3C"/>
    <w:rsid w:val="008B5113"/>
    <w:rsid w:val="008B545D"/>
    <w:rsid w:val="008B5511"/>
    <w:rsid w:val="008B5992"/>
    <w:rsid w:val="008B5D6E"/>
    <w:rsid w:val="008B62A6"/>
    <w:rsid w:val="008B6829"/>
    <w:rsid w:val="008B6B9C"/>
    <w:rsid w:val="008B6C1B"/>
    <w:rsid w:val="008B6E94"/>
    <w:rsid w:val="008B6EAE"/>
    <w:rsid w:val="008B6F80"/>
    <w:rsid w:val="008B717F"/>
    <w:rsid w:val="008B7196"/>
    <w:rsid w:val="008B74A7"/>
    <w:rsid w:val="008B7D1E"/>
    <w:rsid w:val="008C00DA"/>
    <w:rsid w:val="008C026C"/>
    <w:rsid w:val="008C05E9"/>
    <w:rsid w:val="008C0F63"/>
    <w:rsid w:val="008C1511"/>
    <w:rsid w:val="008C1935"/>
    <w:rsid w:val="008C19FC"/>
    <w:rsid w:val="008C1F69"/>
    <w:rsid w:val="008C2DD4"/>
    <w:rsid w:val="008C3129"/>
    <w:rsid w:val="008C3A68"/>
    <w:rsid w:val="008C3AE0"/>
    <w:rsid w:val="008C3B79"/>
    <w:rsid w:val="008C3BD4"/>
    <w:rsid w:val="008C3E90"/>
    <w:rsid w:val="008C3E9F"/>
    <w:rsid w:val="008C3EFF"/>
    <w:rsid w:val="008C4201"/>
    <w:rsid w:val="008C4ABD"/>
    <w:rsid w:val="008C4BF7"/>
    <w:rsid w:val="008C4F16"/>
    <w:rsid w:val="008C4F38"/>
    <w:rsid w:val="008C5552"/>
    <w:rsid w:val="008C55BD"/>
    <w:rsid w:val="008C55E3"/>
    <w:rsid w:val="008C56BF"/>
    <w:rsid w:val="008C5730"/>
    <w:rsid w:val="008C5EF5"/>
    <w:rsid w:val="008C5F1A"/>
    <w:rsid w:val="008C5F1D"/>
    <w:rsid w:val="008C5F35"/>
    <w:rsid w:val="008C63A1"/>
    <w:rsid w:val="008C64F2"/>
    <w:rsid w:val="008C65AD"/>
    <w:rsid w:val="008C6E84"/>
    <w:rsid w:val="008C7382"/>
    <w:rsid w:val="008D02C3"/>
    <w:rsid w:val="008D0896"/>
    <w:rsid w:val="008D0D92"/>
    <w:rsid w:val="008D1713"/>
    <w:rsid w:val="008D1AC5"/>
    <w:rsid w:val="008D1E0D"/>
    <w:rsid w:val="008D2391"/>
    <w:rsid w:val="008D24F4"/>
    <w:rsid w:val="008D2836"/>
    <w:rsid w:val="008D3642"/>
    <w:rsid w:val="008D3AE2"/>
    <w:rsid w:val="008D3AFB"/>
    <w:rsid w:val="008D3B26"/>
    <w:rsid w:val="008D3D5E"/>
    <w:rsid w:val="008D4194"/>
    <w:rsid w:val="008D43A0"/>
    <w:rsid w:val="008D43A6"/>
    <w:rsid w:val="008D4426"/>
    <w:rsid w:val="008D5069"/>
    <w:rsid w:val="008D538F"/>
    <w:rsid w:val="008D6241"/>
    <w:rsid w:val="008D633B"/>
    <w:rsid w:val="008D63BF"/>
    <w:rsid w:val="008D6B09"/>
    <w:rsid w:val="008D729C"/>
    <w:rsid w:val="008D72B7"/>
    <w:rsid w:val="008D7766"/>
    <w:rsid w:val="008D7B5D"/>
    <w:rsid w:val="008D7C03"/>
    <w:rsid w:val="008D7CA6"/>
    <w:rsid w:val="008E020C"/>
    <w:rsid w:val="008E03C8"/>
    <w:rsid w:val="008E04CB"/>
    <w:rsid w:val="008E0AB2"/>
    <w:rsid w:val="008E1287"/>
    <w:rsid w:val="008E147C"/>
    <w:rsid w:val="008E15DF"/>
    <w:rsid w:val="008E1989"/>
    <w:rsid w:val="008E1B83"/>
    <w:rsid w:val="008E1CA3"/>
    <w:rsid w:val="008E1D3C"/>
    <w:rsid w:val="008E1EAA"/>
    <w:rsid w:val="008E2366"/>
    <w:rsid w:val="008E2410"/>
    <w:rsid w:val="008E2680"/>
    <w:rsid w:val="008E26A1"/>
    <w:rsid w:val="008E296C"/>
    <w:rsid w:val="008E2B3C"/>
    <w:rsid w:val="008E32D2"/>
    <w:rsid w:val="008E35F4"/>
    <w:rsid w:val="008E4437"/>
    <w:rsid w:val="008E488F"/>
    <w:rsid w:val="008E4A58"/>
    <w:rsid w:val="008E4AAE"/>
    <w:rsid w:val="008E4C2D"/>
    <w:rsid w:val="008E4C36"/>
    <w:rsid w:val="008E4C57"/>
    <w:rsid w:val="008E4EAA"/>
    <w:rsid w:val="008E5141"/>
    <w:rsid w:val="008E524C"/>
    <w:rsid w:val="008E5762"/>
    <w:rsid w:val="008E5AA7"/>
    <w:rsid w:val="008E5CDF"/>
    <w:rsid w:val="008E614E"/>
    <w:rsid w:val="008E6CE0"/>
    <w:rsid w:val="008E73D1"/>
    <w:rsid w:val="008E7524"/>
    <w:rsid w:val="008E7F32"/>
    <w:rsid w:val="008F10A4"/>
    <w:rsid w:val="008F1175"/>
    <w:rsid w:val="008F12C0"/>
    <w:rsid w:val="008F1AC6"/>
    <w:rsid w:val="008F1CC7"/>
    <w:rsid w:val="008F1D65"/>
    <w:rsid w:val="008F210A"/>
    <w:rsid w:val="008F2304"/>
    <w:rsid w:val="008F2426"/>
    <w:rsid w:val="008F2472"/>
    <w:rsid w:val="008F2536"/>
    <w:rsid w:val="008F2822"/>
    <w:rsid w:val="008F28E7"/>
    <w:rsid w:val="008F2A46"/>
    <w:rsid w:val="008F303A"/>
    <w:rsid w:val="008F3392"/>
    <w:rsid w:val="008F33D6"/>
    <w:rsid w:val="008F3E24"/>
    <w:rsid w:val="008F40A7"/>
    <w:rsid w:val="008F4231"/>
    <w:rsid w:val="008F4522"/>
    <w:rsid w:val="008F45C5"/>
    <w:rsid w:val="008F45D6"/>
    <w:rsid w:val="008F548E"/>
    <w:rsid w:val="008F594C"/>
    <w:rsid w:val="008F61F5"/>
    <w:rsid w:val="008F6433"/>
    <w:rsid w:val="008F66BE"/>
    <w:rsid w:val="008F66F4"/>
    <w:rsid w:val="008F697E"/>
    <w:rsid w:val="008F6BA7"/>
    <w:rsid w:val="008F703B"/>
    <w:rsid w:val="008F7EBB"/>
    <w:rsid w:val="00900525"/>
    <w:rsid w:val="0090053B"/>
    <w:rsid w:val="009005B3"/>
    <w:rsid w:val="009005C9"/>
    <w:rsid w:val="00900ABE"/>
    <w:rsid w:val="00900B6C"/>
    <w:rsid w:val="00900DEE"/>
    <w:rsid w:val="00901573"/>
    <w:rsid w:val="00901719"/>
    <w:rsid w:val="00901A61"/>
    <w:rsid w:val="00901EE9"/>
    <w:rsid w:val="00901F0B"/>
    <w:rsid w:val="00902082"/>
    <w:rsid w:val="009024C3"/>
    <w:rsid w:val="009026AB"/>
    <w:rsid w:val="009026CB"/>
    <w:rsid w:val="00902CF2"/>
    <w:rsid w:val="0090355C"/>
    <w:rsid w:val="00903693"/>
    <w:rsid w:val="009036B2"/>
    <w:rsid w:val="00903A70"/>
    <w:rsid w:val="00903A83"/>
    <w:rsid w:val="00903B50"/>
    <w:rsid w:val="009044F0"/>
    <w:rsid w:val="00904C29"/>
    <w:rsid w:val="00904EE5"/>
    <w:rsid w:val="00905251"/>
    <w:rsid w:val="00905AE5"/>
    <w:rsid w:val="00905C08"/>
    <w:rsid w:val="00905D07"/>
    <w:rsid w:val="00905E8E"/>
    <w:rsid w:val="0090684D"/>
    <w:rsid w:val="00906B62"/>
    <w:rsid w:val="00906B73"/>
    <w:rsid w:val="00906DED"/>
    <w:rsid w:val="0090709E"/>
    <w:rsid w:val="00907FB0"/>
    <w:rsid w:val="00910024"/>
    <w:rsid w:val="00910141"/>
    <w:rsid w:val="00910289"/>
    <w:rsid w:val="009108C5"/>
    <w:rsid w:val="00910F2B"/>
    <w:rsid w:val="00911086"/>
    <w:rsid w:val="00911155"/>
    <w:rsid w:val="009114C4"/>
    <w:rsid w:val="00911506"/>
    <w:rsid w:val="00911876"/>
    <w:rsid w:val="00911BD4"/>
    <w:rsid w:val="00912138"/>
    <w:rsid w:val="00912527"/>
    <w:rsid w:val="0091252C"/>
    <w:rsid w:val="0091260B"/>
    <w:rsid w:val="00912757"/>
    <w:rsid w:val="0091287B"/>
    <w:rsid w:val="0091293D"/>
    <w:rsid w:val="00912C70"/>
    <w:rsid w:val="00912C96"/>
    <w:rsid w:val="00912DB2"/>
    <w:rsid w:val="009139CC"/>
    <w:rsid w:val="00913EA6"/>
    <w:rsid w:val="00914422"/>
    <w:rsid w:val="009147E1"/>
    <w:rsid w:val="0091529F"/>
    <w:rsid w:val="00915471"/>
    <w:rsid w:val="0091580F"/>
    <w:rsid w:val="00915852"/>
    <w:rsid w:val="009162AA"/>
    <w:rsid w:val="0091641A"/>
    <w:rsid w:val="00916A24"/>
    <w:rsid w:val="00916F95"/>
    <w:rsid w:val="009171CC"/>
    <w:rsid w:val="00917305"/>
    <w:rsid w:val="00917374"/>
    <w:rsid w:val="009175B3"/>
    <w:rsid w:val="00920128"/>
    <w:rsid w:val="009204E8"/>
    <w:rsid w:val="00920AA3"/>
    <w:rsid w:val="00920BDD"/>
    <w:rsid w:val="00920CC0"/>
    <w:rsid w:val="00920E2B"/>
    <w:rsid w:val="00920FCE"/>
    <w:rsid w:val="00921014"/>
    <w:rsid w:val="009211FC"/>
    <w:rsid w:val="0092128E"/>
    <w:rsid w:val="009212E1"/>
    <w:rsid w:val="00921388"/>
    <w:rsid w:val="009214AD"/>
    <w:rsid w:val="00921796"/>
    <w:rsid w:val="0092199B"/>
    <w:rsid w:val="00921B3E"/>
    <w:rsid w:val="00921C56"/>
    <w:rsid w:val="00921FEA"/>
    <w:rsid w:val="00923246"/>
    <w:rsid w:val="0092369B"/>
    <w:rsid w:val="00923759"/>
    <w:rsid w:val="00923B40"/>
    <w:rsid w:val="00924064"/>
    <w:rsid w:val="0092418A"/>
    <w:rsid w:val="0092420E"/>
    <w:rsid w:val="009245DB"/>
    <w:rsid w:val="00924B62"/>
    <w:rsid w:val="00924F62"/>
    <w:rsid w:val="009252D6"/>
    <w:rsid w:val="0092568B"/>
    <w:rsid w:val="00925710"/>
    <w:rsid w:val="00925B80"/>
    <w:rsid w:val="00925F4A"/>
    <w:rsid w:val="0092603E"/>
    <w:rsid w:val="0092679F"/>
    <w:rsid w:val="009275F5"/>
    <w:rsid w:val="009276A1"/>
    <w:rsid w:val="009277A9"/>
    <w:rsid w:val="00927EAD"/>
    <w:rsid w:val="0093009E"/>
    <w:rsid w:val="00930268"/>
    <w:rsid w:val="00930400"/>
    <w:rsid w:val="00930CFC"/>
    <w:rsid w:val="00930D2E"/>
    <w:rsid w:val="00930D53"/>
    <w:rsid w:val="00930DA0"/>
    <w:rsid w:val="00931730"/>
    <w:rsid w:val="00931909"/>
    <w:rsid w:val="00931A53"/>
    <w:rsid w:val="00931B4B"/>
    <w:rsid w:val="00931BB8"/>
    <w:rsid w:val="00931C3A"/>
    <w:rsid w:val="00931D93"/>
    <w:rsid w:val="0093226C"/>
    <w:rsid w:val="00932E61"/>
    <w:rsid w:val="00932ED3"/>
    <w:rsid w:val="00933A8A"/>
    <w:rsid w:val="00933C57"/>
    <w:rsid w:val="00934426"/>
    <w:rsid w:val="00934730"/>
    <w:rsid w:val="00934827"/>
    <w:rsid w:val="00934A88"/>
    <w:rsid w:val="00934C4B"/>
    <w:rsid w:val="00934D62"/>
    <w:rsid w:val="00934ED7"/>
    <w:rsid w:val="00934FBB"/>
    <w:rsid w:val="0093517E"/>
    <w:rsid w:val="0093556C"/>
    <w:rsid w:val="009357BA"/>
    <w:rsid w:val="00935B6E"/>
    <w:rsid w:val="00935C5B"/>
    <w:rsid w:val="009364E1"/>
    <w:rsid w:val="009367EA"/>
    <w:rsid w:val="00936C97"/>
    <w:rsid w:val="00936F2A"/>
    <w:rsid w:val="00937065"/>
    <w:rsid w:val="009370ED"/>
    <w:rsid w:val="009371C2"/>
    <w:rsid w:val="00937E55"/>
    <w:rsid w:val="00940094"/>
    <w:rsid w:val="00940764"/>
    <w:rsid w:val="00940770"/>
    <w:rsid w:val="00940B4E"/>
    <w:rsid w:val="00940DC2"/>
    <w:rsid w:val="00940FF0"/>
    <w:rsid w:val="00941560"/>
    <w:rsid w:val="00941B08"/>
    <w:rsid w:val="00941C99"/>
    <w:rsid w:val="009421B8"/>
    <w:rsid w:val="0094225A"/>
    <w:rsid w:val="009427D8"/>
    <w:rsid w:val="009435DC"/>
    <w:rsid w:val="0094361C"/>
    <w:rsid w:val="009436D5"/>
    <w:rsid w:val="00943F85"/>
    <w:rsid w:val="009447F3"/>
    <w:rsid w:val="00944E1E"/>
    <w:rsid w:val="00945BD1"/>
    <w:rsid w:val="00945E88"/>
    <w:rsid w:val="00946539"/>
    <w:rsid w:val="00946590"/>
    <w:rsid w:val="009467AF"/>
    <w:rsid w:val="009468EF"/>
    <w:rsid w:val="00946EF7"/>
    <w:rsid w:val="00947340"/>
    <w:rsid w:val="009474A8"/>
    <w:rsid w:val="00947565"/>
    <w:rsid w:val="00947B3F"/>
    <w:rsid w:val="00947B40"/>
    <w:rsid w:val="00947F19"/>
    <w:rsid w:val="00947FD6"/>
    <w:rsid w:val="009502C4"/>
    <w:rsid w:val="00951190"/>
    <w:rsid w:val="00951868"/>
    <w:rsid w:val="00951AA5"/>
    <w:rsid w:val="00951D41"/>
    <w:rsid w:val="00951ECE"/>
    <w:rsid w:val="00951ECF"/>
    <w:rsid w:val="00952026"/>
    <w:rsid w:val="009520C7"/>
    <w:rsid w:val="009520E8"/>
    <w:rsid w:val="0095238E"/>
    <w:rsid w:val="00952528"/>
    <w:rsid w:val="009526D0"/>
    <w:rsid w:val="00952CB9"/>
    <w:rsid w:val="009534E0"/>
    <w:rsid w:val="00953646"/>
    <w:rsid w:val="009542F6"/>
    <w:rsid w:val="009543BA"/>
    <w:rsid w:val="00954511"/>
    <w:rsid w:val="0095461B"/>
    <w:rsid w:val="00954CD5"/>
    <w:rsid w:val="00955041"/>
    <w:rsid w:val="009551C7"/>
    <w:rsid w:val="009555B0"/>
    <w:rsid w:val="00955706"/>
    <w:rsid w:val="00955D66"/>
    <w:rsid w:val="00955DB6"/>
    <w:rsid w:val="009566C8"/>
    <w:rsid w:val="00956A76"/>
    <w:rsid w:val="00956BDD"/>
    <w:rsid w:val="00957011"/>
    <w:rsid w:val="0095748C"/>
    <w:rsid w:val="00960490"/>
    <w:rsid w:val="00960595"/>
    <w:rsid w:val="009605A2"/>
    <w:rsid w:val="009611A9"/>
    <w:rsid w:val="009615F2"/>
    <w:rsid w:val="00961828"/>
    <w:rsid w:val="00961ACB"/>
    <w:rsid w:val="00961CF2"/>
    <w:rsid w:val="00961F87"/>
    <w:rsid w:val="00962920"/>
    <w:rsid w:val="0096324F"/>
    <w:rsid w:val="009633DE"/>
    <w:rsid w:val="00963757"/>
    <w:rsid w:val="009654B0"/>
    <w:rsid w:val="0096590A"/>
    <w:rsid w:val="00965958"/>
    <w:rsid w:val="009659B3"/>
    <w:rsid w:val="00965BB8"/>
    <w:rsid w:val="00966415"/>
    <w:rsid w:val="00966A2D"/>
    <w:rsid w:val="00966F9C"/>
    <w:rsid w:val="00967091"/>
    <w:rsid w:val="00967ECE"/>
    <w:rsid w:val="00967FE0"/>
    <w:rsid w:val="009707EE"/>
    <w:rsid w:val="00970CC8"/>
    <w:rsid w:val="00971A2A"/>
    <w:rsid w:val="00971CF2"/>
    <w:rsid w:val="00971DDC"/>
    <w:rsid w:val="00971ED3"/>
    <w:rsid w:val="009725AE"/>
    <w:rsid w:val="00973206"/>
    <w:rsid w:val="009737C7"/>
    <w:rsid w:val="009738D3"/>
    <w:rsid w:val="00974063"/>
    <w:rsid w:val="00974240"/>
    <w:rsid w:val="0097450E"/>
    <w:rsid w:val="00974968"/>
    <w:rsid w:val="00974A7A"/>
    <w:rsid w:val="00974FBF"/>
    <w:rsid w:val="009754A3"/>
    <w:rsid w:val="009754CD"/>
    <w:rsid w:val="0097560C"/>
    <w:rsid w:val="009757EB"/>
    <w:rsid w:val="00975C89"/>
    <w:rsid w:val="00976AC6"/>
    <w:rsid w:val="00976BE5"/>
    <w:rsid w:val="00976F5E"/>
    <w:rsid w:val="009771AD"/>
    <w:rsid w:val="00977234"/>
    <w:rsid w:val="009778FB"/>
    <w:rsid w:val="00977B17"/>
    <w:rsid w:val="00977B6D"/>
    <w:rsid w:val="0098012C"/>
    <w:rsid w:val="009801CF"/>
    <w:rsid w:val="009801E4"/>
    <w:rsid w:val="009803A1"/>
    <w:rsid w:val="0098050E"/>
    <w:rsid w:val="00980914"/>
    <w:rsid w:val="00980FA9"/>
    <w:rsid w:val="009812F2"/>
    <w:rsid w:val="0098137E"/>
    <w:rsid w:val="009813C7"/>
    <w:rsid w:val="009822A3"/>
    <w:rsid w:val="009824CB"/>
    <w:rsid w:val="00982916"/>
    <w:rsid w:val="0098356F"/>
    <w:rsid w:val="009837AA"/>
    <w:rsid w:val="00983AF9"/>
    <w:rsid w:val="00983B8E"/>
    <w:rsid w:val="00984281"/>
    <w:rsid w:val="009842CC"/>
    <w:rsid w:val="00984343"/>
    <w:rsid w:val="009847A2"/>
    <w:rsid w:val="009847E6"/>
    <w:rsid w:val="0098488D"/>
    <w:rsid w:val="009849E5"/>
    <w:rsid w:val="0098500B"/>
    <w:rsid w:val="00985B71"/>
    <w:rsid w:val="00986445"/>
    <w:rsid w:val="00986502"/>
    <w:rsid w:val="009867CA"/>
    <w:rsid w:val="00986880"/>
    <w:rsid w:val="00986DA3"/>
    <w:rsid w:val="00990175"/>
    <w:rsid w:val="009903ED"/>
    <w:rsid w:val="00990957"/>
    <w:rsid w:val="00990C52"/>
    <w:rsid w:val="00990DDC"/>
    <w:rsid w:val="009918A8"/>
    <w:rsid w:val="009919FE"/>
    <w:rsid w:val="00991DC8"/>
    <w:rsid w:val="00991DDB"/>
    <w:rsid w:val="0099265E"/>
    <w:rsid w:val="00992C3B"/>
    <w:rsid w:val="0099311D"/>
    <w:rsid w:val="009931E5"/>
    <w:rsid w:val="00993784"/>
    <w:rsid w:val="0099382E"/>
    <w:rsid w:val="00993E26"/>
    <w:rsid w:val="009944E3"/>
    <w:rsid w:val="009952F9"/>
    <w:rsid w:val="009956EA"/>
    <w:rsid w:val="00996496"/>
    <w:rsid w:val="00996640"/>
    <w:rsid w:val="00996BA0"/>
    <w:rsid w:val="00996CB3"/>
    <w:rsid w:val="00996CDB"/>
    <w:rsid w:val="00996D6F"/>
    <w:rsid w:val="0099723B"/>
    <w:rsid w:val="009975CF"/>
    <w:rsid w:val="00997679"/>
    <w:rsid w:val="0099772D"/>
    <w:rsid w:val="00997823"/>
    <w:rsid w:val="00997D2A"/>
    <w:rsid w:val="009A097F"/>
    <w:rsid w:val="009A0B5C"/>
    <w:rsid w:val="009A10A3"/>
    <w:rsid w:val="009A1501"/>
    <w:rsid w:val="009A16E6"/>
    <w:rsid w:val="009A19FC"/>
    <w:rsid w:val="009A1ADC"/>
    <w:rsid w:val="009A203D"/>
    <w:rsid w:val="009A2199"/>
    <w:rsid w:val="009A236A"/>
    <w:rsid w:val="009A247D"/>
    <w:rsid w:val="009A2DEF"/>
    <w:rsid w:val="009A2E7F"/>
    <w:rsid w:val="009A3075"/>
    <w:rsid w:val="009A3357"/>
    <w:rsid w:val="009A3459"/>
    <w:rsid w:val="009A3945"/>
    <w:rsid w:val="009A443D"/>
    <w:rsid w:val="009A453A"/>
    <w:rsid w:val="009A4709"/>
    <w:rsid w:val="009A56D3"/>
    <w:rsid w:val="009A5884"/>
    <w:rsid w:val="009A59E7"/>
    <w:rsid w:val="009A5FD6"/>
    <w:rsid w:val="009A6860"/>
    <w:rsid w:val="009A6915"/>
    <w:rsid w:val="009A6968"/>
    <w:rsid w:val="009A6C0C"/>
    <w:rsid w:val="009A6E6F"/>
    <w:rsid w:val="009A6F45"/>
    <w:rsid w:val="009A72FC"/>
    <w:rsid w:val="009A7FD0"/>
    <w:rsid w:val="009B0247"/>
    <w:rsid w:val="009B0DFD"/>
    <w:rsid w:val="009B0FC0"/>
    <w:rsid w:val="009B178A"/>
    <w:rsid w:val="009B1874"/>
    <w:rsid w:val="009B1C78"/>
    <w:rsid w:val="009B1E56"/>
    <w:rsid w:val="009B1F60"/>
    <w:rsid w:val="009B20DF"/>
    <w:rsid w:val="009B2667"/>
    <w:rsid w:val="009B270F"/>
    <w:rsid w:val="009B273B"/>
    <w:rsid w:val="009B2748"/>
    <w:rsid w:val="009B2CC1"/>
    <w:rsid w:val="009B2CD5"/>
    <w:rsid w:val="009B3950"/>
    <w:rsid w:val="009B396F"/>
    <w:rsid w:val="009B3D2D"/>
    <w:rsid w:val="009B3D2E"/>
    <w:rsid w:val="009B3D4D"/>
    <w:rsid w:val="009B4032"/>
    <w:rsid w:val="009B4171"/>
    <w:rsid w:val="009B43AB"/>
    <w:rsid w:val="009B45CA"/>
    <w:rsid w:val="009B4A5B"/>
    <w:rsid w:val="009B54D5"/>
    <w:rsid w:val="009B5782"/>
    <w:rsid w:val="009B57F8"/>
    <w:rsid w:val="009B5B84"/>
    <w:rsid w:val="009B5D92"/>
    <w:rsid w:val="009B5FBE"/>
    <w:rsid w:val="009B615B"/>
    <w:rsid w:val="009B62AB"/>
    <w:rsid w:val="009B65C5"/>
    <w:rsid w:val="009B710A"/>
    <w:rsid w:val="009B738A"/>
    <w:rsid w:val="009B74DB"/>
    <w:rsid w:val="009B7B16"/>
    <w:rsid w:val="009B7BAB"/>
    <w:rsid w:val="009B7D61"/>
    <w:rsid w:val="009C019E"/>
    <w:rsid w:val="009C06AD"/>
    <w:rsid w:val="009C094A"/>
    <w:rsid w:val="009C0D64"/>
    <w:rsid w:val="009C115A"/>
    <w:rsid w:val="009C1250"/>
    <w:rsid w:val="009C18AD"/>
    <w:rsid w:val="009C1A26"/>
    <w:rsid w:val="009C1D57"/>
    <w:rsid w:val="009C1EFA"/>
    <w:rsid w:val="009C2B8F"/>
    <w:rsid w:val="009C30B4"/>
    <w:rsid w:val="009C336E"/>
    <w:rsid w:val="009C36DC"/>
    <w:rsid w:val="009C3777"/>
    <w:rsid w:val="009C3EAE"/>
    <w:rsid w:val="009C3EDD"/>
    <w:rsid w:val="009C3FB5"/>
    <w:rsid w:val="009C41EF"/>
    <w:rsid w:val="009C44C3"/>
    <w:rsid w:val="009C44DB"/>
    <w:rsid w:val="009C488C"/>
    <w:rsid w:val="009C494D"/>
    <w:rsid w:val="009C4CF1"/>
    <w:rsid w:val="009C4D22"/>
    <w:rsid w:val="009C51CC"/>
    <w:rsid w:val="009C539E"/>
    <w:rsid w:val="009C5A7A"/>
    <w:rsid w:val="009C6537"/>
    <w:rsid w:val="009C6605"/>
    <w:rsid w:val="009C67C1"/>
    <w:rsid w:val="009C69FF"/>
    <w:rsid w:val="009C6D71"/>
    <w:rsid w:val="009C6F87"/>
    <w:rsid w:val="009C76E3"/>
    <w:rsid w:val="009C7847"/>
    <w:rsid w:val="009C7925"/>
    <w:rsid w:val="009C7BD7"/>
    <w:rsid w:val="009C7E3D"/>
    <w:rsid w:val="009C7F66"/>
    <w:rsid w:val="009D01EB"/>
    <w:rsid w:val="009D03C3"/>
    <w:rsid w:val="009D0B0B"/>
    <w:rsid w:val="009D0E2D"/>
    <w:rsid w:val="009D0F4C"/>
    <w:rsid w:val="009D1859"/>
    <w:rsid w:val="009D1C93"/>
    <w:rsid w:val="009D238E"/>
    <w:rsid w:val="009D29F0"/>
    <w:rsid w:val="009D2E93"/>
    <w:rsid w:val="009D2E9A"/>
    <w:rsid w:val="009D32CB"/>
    <w:rsid w:val="009D330F"/>
    <w:rsid w:val="009D33F4"/>
    <w:rsid w:val="009D3403"/>
    <w:rsid w:val="009D37B4"/>
    <w:rsid w:val="009D3C48"/>
    <w:rsid w:val="009D4085"/>
    <w:rsid w:val="009D4428"/>
    <w:rsid w:val="009D451F"/>
    <w:rsid w:val="009D4711"/>
    <w:rsid w:val="009D4C4F"/>
    <w:rsid w:val="009D4D75"/>
    <w:rsid w:val="009D4E65"/>
    <w:rsid w:val="009D4F94"/>
    <w:rsid w:val="009D5887"/>
    <w:rsid w:val="009D64B7"/>
    <w:rsid w:val="009D66E6"/>
    <w:rsid w:val="009D6783"/>
    <w:rsid w:val="009D6C21"/>
    <w:rsid w:val="009D7562"/>
    <w:rsid w:val="009D7A63"/>
    <w:rsid w:val="009D7D08"/>
    <w:rsid w:val="009E0745"/>
    <w:rsid w:val="009E07A8"/>
    <w:rsid w:val="009E1042"/>
    <w:rsid w:val="009E1466"/>
    <w:rsid w:val="009E1534"/>
    <w:rsid w:val="009E1874"/>
    <w:rsid w:val="009E2515"/>
    <w:rsid w:val="009E26B2"/>
    <w:rsid w:val="009E2AAE"/>
    <w:rsid w:val="009E2D17"/>
    <w:rsid w:val="009E2F03"/>
    <w:rsid w:val="009E338F"/>
    <w:rsid w:val="009E3637"/>
    <w:rsid w:val="009E3A7E"/>
    <w:rsid w:val="009E3CEF"/>
    <w:rsid w:val="009E3F20"/>
    <w:rsid w:val="009E424F"/>
    <w:rsid w:val="009E445A"/>
    <w:rsid w:val="009E4FAA"/>
    <w:rsid w:val="009E5452"/>
    <w:rsid w:val="009E574E"/>
    <w:rsid w:val="009E5A75"/>
    <w:rsid w:val="009E5B28"/>
    <w:rsid w:val="009E5DE2"/>
    <w:rsid w:val="009E663D"/>
    <w:rsid w:val="009E6796"/>
    <w:rsid w:val="009E6AE6"/>
    <w:rsid w:val="009E6B25"/>
    <w:rsid w:val="009E714E"/>
    <w:rsid w:val="009E74B3"/>
    <w:rsid w:val="009E78A2"/>
    <w:rsid w:val="009E7F64"/>
    <w:rsid w:val="009F018C"/>
    <w:rsid w:val="009F0628"/>
    <w:rsid w:val="009F06CF"/>
    <w:rsid w:val="009F0852"/>
    <w:rsid w:val="009F0900"/>
    <w:rsid w:val="009F0C77"/>
    <w:rsid w:val="009F0FBB"/>
    <w:rsid w:val="009F1077"/>
    <w:rsid w:val="009F18AD"/>
    <w:rsid w:val="009F19E4"/>
    <w:rsid w:val="009F1C2D"/>
    <w:rsid w:val="009F1F27"/>
    <w:rsid w:val="009F21AD"/>
    <w:rsid w:val="009F2BFF"/>
    <w:rsid w:val="009F2F25"/>
    <w:rsid w:val="009F3043"/>
    <w:rsid w:val="009F3306"/>
    <w:rsid w:val="009F33FF"/>
    <w:rsid w:val="009F34F9"/>
    <w:rsid w:val="009F3712"/>
    <w:rsid w:val="009F3B59"/>
    <w:rsid w:val="009F4135"/>
    <w:rsid w:val="009F45CD"/>
    <w:rsid w:val="009F46E4"/>
    <w:rsid w:val="009F4AB1"/>
    <w:rsid w:val="009F4B62"/>
    <w:rsid w:val="009F4B6E"/>
    <w:rsid w:val="009F52D8"/>
    <w:rsid w:val="009F5C31"/>
    <w:rsid w:val="009F5F43"/>
    <w:rsid w:val="009F6418"/>
    <w:rsid w:val="009F6A43"/>
    <w:rsid w:val="009F6B05"/>
    <w:rsid w:val="009F6F9F"/>
    <w:rsid w:val="009F71EA"/>
    <w:rsid w:val="009F7919"/>
    <w:rsid w:val="009F7CD2"/>
    <w:rsid w:val="00A00492"/>
    <w:rsid w:val="00A0058A"/>
    <w:rsid w:val="00A00A11"/>
    <w:rsid w:val="00A0132E"/>
    <w:rsid w:val="00A01647"/>
    <w:rsid w:val="00A01A81"/>
    <w:rsid w:val="00A02109"/>
    <w:rsid w:val="00A02363"/>
    <w:rsid w:val="00A0240E"/>
    <w:rsid w:val="00A0250F"/>
    <w:rsid w:val="00A02594"/>
    <w:rsid w:val="00A02B20"/>
    <w:rsid w:val="00A02FB0"/>
    <w:rsid w:val="00A030F3"/>
    <w:rsid w:val="00A03125"/>
    <w:rsid w:val="00A03133"/>
    <w:rsid w:val="00A031A6"/>
    <w:rsid w:val="00A035AE"/>
    <w:rsid w:val="00A0419C"/>
    <w:rsid w:val="00A04275"/>
    <w:rsid w:val="00A04466"/>
    <w:rsid w:val="00A04DF6"/>
    <w:rsid w:val="00A05079"/>
    <w:rsid w:val="00A0510B"/>
    <w:rsid w:val="00A053E5"/>
    <w:rsid w:val="00A05DA1"/>
    <w:rsid w:val="00A05EFE"/>
    <w:rsid w:val="00A069BA"/>
    <w:rsid w:val="00A06BF2"/>
    <w:rsid w:val="00A06D3C"/>
    <w:rsid w:val="00A06FFE"/>
    <w:rsid w:val="00A07A73"/>
    <w:rsid w:val="00A07BAE"/>
    <w:rsid w:val="00A07F18"/>
    <w:rsid w:val="00A100F3"/>
    <w:rsid w:val="00A10467"/>
    <w:rsid w:val="00A10610"/>
    <w:rsid w:val="00A10715"/>
    <w:rsid w:val="00A1094B"/>
    <w:rsid w:val="00A10FB9"/>
    <w:rsid w:val="00A111D2"/>
    <w:rsid w:val="00A112C1"/>
    <w:rsid w:val="00A114F2"/>
    <w:rsid w:val="00A11808"/>
    <w:rsid w:val="00A119D0"/>
    <w:rsid w:val="00A11BF0"/>
    <w:rsid w:val="00A12664"/>
    <w:rsid w:val="00A12BF1"/>
    <w:rsid w:val="00A13267"/>
    <w:rsid w:val="00A144BE"/>
    <w:rsid w:val="00A14ACC"/>
    <w:rsid w:val="00A1509F"/>
    <w:rsid w:val="00A153B8"/>
    <w:rsid w:val="00A1560F"/>
    <w:rsid w:val="00A15981"/>
    <w:rsid w:val="00A15C56"/>
    <w:rsid w:val="00A16538"/>
    <w:rsid w:val="00A1697D"/>
    <w:rsid w:val="00A17404"/>
    <w:rsid w:val="00A17694"/>
    <w:rsid w:val="00A177B8"/>
    <w:rsid w:val="00A1789A"/>
    <w:rsid w:val="00A1789F"/>
    <w:rsid w:val="00A178E8"/>
    <w:rsid w:val="00A20275"/>
    <w:rsid w:val="00A203ED"/>
    <w:rsid w:val="00A20E14"/>
    <w:rsid w:val="00A20F94"/>
    <w:rsid w:val="00A211D8"/>
    <w:rsid w:val="00A21B56"/>
    <w:rsid w:val="00A21F0E"/>
    <w:rsid w:val="00A21F47"/>
    <w:rsid w:val="00A221BB"/>
    <w:rsid w:val="00A2223F"/>
    <w:rsid w:val="00A224C5"/>
    <w:rsid w:val="00A226B5"/>
    <w:rsid w:val="00A227F0"/>
    <w:rsid w:val="00A23496"/>
    <w:rsid w:val="00A23C1D"/>
    <w:rsid w:val="00A2418A"/>
    <w:rsid w:val="00A244FE"/>
    <w:rsid w:val="00A24BF6"/>
    <w:rsid w:val="00A24E2A"/>
    <w:rsid w:val="00A24FB6"/>
    <w:rsid w:val="00A250E1"/>
    <w:rsid w:val="00A25193"/>
    <w:rsid w:val="00A25807"/>
    <w:rsid w:val="00A25941"/>
    <w:rsid w:val="00A25BD8"/>
    <w:rsid w:val="00A25F13"/>
    <w:rsid w:val="00A26076"/>
    <w:rsid w:val="00A26545"/>
    <w:rsid w:val="00A26A61"/>
    <w:rsid w:val="00A27005"/>
    <w:rsid w:val="00A270E0"/>
    <w:rsid w:val="00A277FD"/>
    <w:rsid w:val="00A27B77"/>
    <w:rsid w:val="00A27E0B"/>
    <w:rsid w:val="00A3080A"/>
    <w:rsid w:val="00A30A3F"/>
    <w:rsid w:val="00A30B7E"/>
    <w:rsid w:val="00A30F19"/>
    <w:rsid w:val="00A3132B"/>
    <w:rsid w:val="00A314D1"/>
    <w:rsid w:val="00A31FF5"/>
    <w:rsid w:val="00A322F6"/>
    <w:rsid w:val="00A32448"/>
    <w:rsid w:val="00A32490"/>
    <w:rsid w:val="00A325FC"/>
    <w:rsid w:val="00A3284A"/>
    <w:rsid w:val="00A328E2"/>
    <w:rsid w:val="00A33508"/>
    <w:rsid w:val="00A33771"/>
    <w:rsid w:val="00A337DB"/>
    <w:rsid w:val="00A33B57"/>
    <w:rsid w:val="00A33C8B"/>
    <w:rsid w:val="00A3406C"/>
    <w:rsid w:val="00A3485B"/>
    <w:rsid w:val="00A349D1"/>
    <w:rsid w:val="00A34A35"/>
    <w:rsid w:val="00A34E56"/>
    <w:rsid w:val="00A35730"/>
    <w:rsid w:val="00A3581E"/>
    <w:rsid w:val="00A35DE6"/>
    <w:rsid w:val="00A360F7"/>
    <w:rsid w:val="00A36EF5"/>
    <w:rsid w:val="00A37161"/>
    <w:rsid w:val="00A37CD2"/>
    <w:rsid w:val="00A37CFA"/>
    <w:rsid w:val="00A37DE6"/>
    <w:rsid w:val="00A40893"/>
    <w:rsid w:val="00A40AF3"/>
    <w:rsid w:val="00A41172"/>
    <w:rsid w:val="00A4156C"/>
    <w:rsid w:val="00A415ED"/>
    <w:rsid w:val="00A4160E"/>
    <w:rsid w:val="00A4196E"/>
    <w:rsid w:val="00A41A11"/>
    <w:rsid w:val="00A41A29"/>
    <w:rsid w:val="00A42215"/>
    <w:rsid w:val="00A424A6"/>
    <w:rsid w:val="00A425BE"/>
    <w:rsid w:val="00A42A3B"/>
    <w:rsid w:val="00A43919"/>
    <w:rsid w:val="00A43F37"/>
    <w:rsid w:val="00A44136"/>
    <w:rsid w:val="00A442AE"/>
    <w:rsid w:val="00A442C0"/>
    <w:rsid w:val="00A442FB"/>
    <w:rsid w:val="00A4487B"/>
    <w:rsid w:val="00A44948"/>
    <w:rsid w:val="00A44C0C"/>
    <w:rsid w:val="00A452B1"/>
    <w:rsid w:val="00A453AD"/>
    <w:rsid w:val="00A453DB"/>
    <w:rsid w:val="00A45B1F"/>
    <w:rsid w:val="00A45B27"/>
    <w:rsid w:val="00A461DC"/>
    <w:rsid w:val="00A4633F"/>
    <w:rsid w:val="00A4685E"/>
    <w:rsid w:val="00A46E8C"/>
    <w:rsid w:val="00A47018"/>
    <w:rsid w:val="00A4738A"/>
    <w:rsid w:val="00A479EA"/>
    <w:rsid w:val="00A47A30"/>
    <w:rsid w:val="00A47EF1"/>
    <w:rsid w:val="00A50151"/>
    <w:rsid w:val="00A501A1"/>
    <w:rsid w:val="00A50421"/>
    <w:rsid w:val="00A50663"/>
    <w:rsid w:val="00A50A9D"/>
    <w:rsid w:val="00A50BB5"/>
    <w:rsid w:val="00A50BE0"/>
    <w:rsid w:val="00A5145A"/>
    <w:rsid w:val="00A51B57"/>
    <w:rsid w:val="00A51C5A"/>
    <w:rsid w:val="00A52055"/>
    <w:rsid w:val="00A52280"/>
    <w:rsid w:val="00A522B1"/>
    <w:rsid w:val="00A524EB"/>
    <w:rsid w:val="00A52679"/>
    <w:rsid w:val="00A527D3"/>
    <w:rsid w:val="00A52835"/>
    <w:rsid w:val="00A529D2"/>
    <w:rsid w:val="00A529D6"/>
    <w:rsid w:val="00A52DE6"/>
    <w:rsid w:val="00A53155"/>
    <w:rsid w:val="00A53285"/>
    <w:rsid w:val="00A538A1"/>
    <w:rsid w:val="00A53ADB"/>
    <w:rsid w:val="00A53F67"/>
    <w:rsid w:val="00A54210"/>
    <w:rsid w:val="00A5467E"/>
    <w:rsid w:val="00A54B02"/>
    <w:rsid w:val="00A5536D"/>
    <w:rsid w:val="00A55389"/>
    <w:rsid w:val="00A553F4"/>
    <w:rsid w:val="00A55490"/>
    <w:rsid w:val="00A55519"/>
    <w:rsid w:val="00A55D91"/>
    <w:rsid w:val="00A5651B"/>
    <w:rsid w:val="00A56B79"/>
    <w:rsid w:val="00A56CFF"/>
    <w:rsid w:val="00A56D6F"/>
    <w:rsid w:val="00A5736E"/>
    <w:rsid w:val="00A57982"/>
    <w:rsid w:val="00A57A08"/>
    <w:rsid w:val="00A57B4A"/>
    <w:rsid w:val="00A57C06"/>
    <w:rsid w:val="00A57C40"/>
    <w:rsid w:val="00A60337"/>
    <w:rsid w:val="00A603D1"/>
    <w:rsid w:val="00A60487"/>
    <w:rsid w:val="00A6083F"/>
    <w:rsid w:val="00A610D1"/>
    <w:rsid w:val="00A6137E"/>
    <w:rsid w:val="00A61E72"/>
    <w:rsid w:val="00A6201D"/>
    <w:rsid w:val="00A623CD"/>
    <w:rsid w:val="00A634AB"/>
    <w:rsid w:val="00A638CA"/>
    <w:rsid w:val="00A640ED"/>
    <w:rsid w:val="00A6442E"/>
    <w:rsid w:val="00A644D4"/>
    <w:rsid w:val="00A64BAE"/>
    <w:rsid w:val="00A64C3F"/>
    <w:rsid w:val="00A64ECF"/>
    <w:rsid w:val="00A64FAF"/>
    <w:rsid w:val="00A657EF"/>
    <w:rsid w:val="00A65BB4"/>
    <w:rsid w:val="00A66C37"/>
    <w:rsid w:val="00A66DB6"/>
    <w:rsid w:val="00A66E28"/>
    <w:rsid w:val="00A67027"/>
    <w:rsid w:val="00A67253"/>
    <w:rsid w:val="00A67633"/>
    <w:rsid w:val="00A67910"/>
    <w:rsid w:val="00A67A2C"/>
    <w:rsid w:val="00A70765"/>
    <w:rsid w:val="00A707E4"/>
    <w:rsid w:val="00A70BED"/>
    <w:rsid w:val="00A70DBF"/>
    <w:rsid w:val="00A70F48"/>
    <w:rsid w:val="00A71224"/>
    <w:rsid w:val="00A71336"/>
    <w:rsid w:val="00A715E3"/>
    <w:rsid w:val="00A71C51"/>
    <w:rsid w:val="00A72024"/>
    <w:rsid w:val="00A720DE"/>
    <w:rsid w:val="00A72416"/>
    <w:rsid w:val="00A72535"/>
    <w:rsid w:val="00A729C6"/>
    <w:rsid w:val="00A72D65"/>
    <w:rsid w:val="00A73D22"/>
    <w:rsid w:val="00A73DC7"/>
    <w:rsid w:val="00A743CF"/>
    <w:rsid w:val="00A7472C"/>
    <w:rsid w:val="00A74779"/>
    <w:rsid w:val="00A7478F"/>
    <w:rsid w:val="00A74861"/>
    <w:rsid w:val="00A74B12"/>
    <w:rsid w:val="00A74BD2"/>
    <w:rsid w:val="00A754E2"/>
    <w:rsid w:val="00A759D1"/>
    <w:rsid w:val="00A75D33"/>
    <w:rsid w:val="00A76389"/>
    <w:rsid w:val="00A768D1"/>
    <w:rsid w:val="00A76D57"/>
    <w:rsid w:val="00A7777C"/>
    <w:rsid w:val="00A77A05"/>
    <w:rsid w:val="00A77D00"/>
    <w:rsid w:val="00A801A9"/>
    <w:rsid w:val="00A8083D"/>
    <w:rsid w:val="00A80A29"/>
    <w:rsid w:val="00A80C5E"/>
    <w:rsid w:val="00A80EF6"/>
    <w:rsid w:val="00A8103D"/>
    <w:rsid w:val="00A81316"/>
    <w:rsid w:val="00A81565"/>
    <w:rsid w:val="00A8161F"/>
    <w:rsid w:val="00A8194B"/>
    <w:rsid w:val="00A81E16"/>
    <w:rsid w:val="00A82255"/>
    <w:rsid w:val="00A82852"/>
    <w:rsid w:val="00A82A08"/>
    <w:rsid w:val="00A82C14"/>
    <w:rsid w:val="00A830DA"/>
    <w:rsid w:val="00A83285"/>
    <w:rsid w:val="00A839F4"/>
    <w:rsid w:val="00A84034"/>
    <w:rsid w:val="00A841F1"/>
    <w:rsid w:val="00A84776"/>
    <w:rsid w:val="00A84CCC"/>
    <w:rsid w:val="00A852DA"/>
    <w:rsid w:val="00A85657"/>
    <w:rsid w:val="00A8579E"/>
    <w:rsid w:val="00A85808"/>
    <w:rsid w:val="00A85B4D"/>
    <w:rsid w:val="00A85BFC"/>
    <w:rsid w:val="00A85D75"/>
    <w:rsid w:val="00A8600A"/>
    <w:rsid w:val="00A860FF"/>
    <w:rsid w:val="00A862D1"/>
    <w:rsid w:val="00A86995"/>
    <w:rsid w:val="00A8704E"/>
    <w:rsid w:val="00A87925"/>
    <w:rsid w:val="00A902EB"/>
    <w:rsid w:val="00A90523"/>
    <w:rsid w:val="00A906BE"/>
    <w:rsid w:val="00A90B26"/>
    <w:rsid w:val="00A90D9E"/>
    <w:rsid w:val="00A91139"/>
    <w:rsid w:val="00A91ACA"/>
    <w:rsid w:val="00A91AEC"/>
    <w:rsid w:val="00A91BC3"/>
    <w:rsid w:val="00A91E61"/>
    <w:rsid w:val="00A92015"/>
    <w:rsid w:val="00A92441"/>
    <w:rsid w:val="00A929F5"/>
    <w:rsid w:val="00A92A1C"/>
    <w:rsid w:val="00A92E21"/>
    <w:rsid w:val="00A935C9"/>
    <w:rsid w:val="00A93AA0"/>
    <w:rsid w:val="00A93BCF"/>
    <w:rsid w:val="00A93CDA"/>
    <w:rsid w:val="00A941AF"/>
    <w:rsid w:val="00A94401"/>
    <w:rsid w:val="00A94722"/>
    <w:rsid w:val="00A94B21"/>
    <w:rsid w:val="00A94DFF"/>
    <w:rsid w:val="00A9555F"/>
    <w:rsid w:val="00A95B9C"/>
    <w:rsid w:val="00A95F4A"/>
    <w:rsid w:val="00A96B8D"/>
    <w:rsid w:val="00A97003"/>
    <w:rsid w:val="00A9702A"/>
    <w:rsid w:val="00A9787E"/>
    <w:rsid w:val="00A97A78"/>
    <w:rsid w:val="00A97BB1"/>
    <w:rsid w:val="00AA01B7"/>
    <w:rsid w:val="00AA05DB"/>
    <w:rsid w:val="00AA0A6F"/>
    <w:rsid w:val="00AA122E"/>
    <w:rsid w:val="00AA146B"/>
    <w:rsid w:val="00AA194D"/>
    <w:rsid w:val="00AA2519"/>
    <w:rsid w:val="00AA2792"/>
    <w:rsid w:val="00AA2D79"/>
    <w:rsid w:val="00AA2F64"/>
    <w:rsid w:val="00AA33F5"/>
    <w:rsid w:val="00AA3BAC"/>
    <w:rsid w:val="00AA3C21"/>
    <w:rsid w:val="00AA3C91"/>
    <w:rsid w:val="00AA4188"/>
    <w:rsid w:val="00AA41B9"/>
    <w:rsid w:val="00AA4707"/>
    <w:rsid w:val="00AA493B"/>
    <w:rsid w:val="00AA4B79"/>
    <w:rsid w:val="00AA4C18"/>
    <w:rsid w:val="00AA4CE9"/>
    <w:rsid w:val="00AA535A"/>
    <w:rsid w:val="00AA574B"/>
    <w:rsid w:val="00AA57B5"/>
    <w:rsid w:val="00AA59BB"/>
    <w:rsid w:val="00AA694F"/>
    <w:rsid w:val="00AA6C99"/>
    <w:rsid w:val="00AA6DBA"/>
    <w:rsid w:val="00AA705A"/>
    <w:rsid w:val="00AA7175"/>
    <w:rsid w:val="00AA71DD"/>
    <w:rsid w:val="00AA7546"/>
    <w:rsid w:val="00AA7627"/>
    <w:rsid w:val="00AA7A3F"/>
    <w:rsid w:val="00AA7A4A"/>
    <w:rsid w:val="00AB03AE"/>
    <w:rsid w:val="00AB0486"/>
    <w:rsid w:val="00AB04A4"/>
    <w:rsid w:val="00AB070A"/>
    <w:rsid w:val="00AB0756"/>
    <w:rsid w:val="00AB0B35"/>
    <w:rsid w:val="00AB0D80"/>
    <w:rsid w:val="00AB0F60"/>
    <w:rsid w:val="00AB17D8"/>
    <w:rsid w:val="00AB1D66"/>
    <w:rsid w:val="00AB20F4"/>
    <w:rsid w:val="00AB25EA"/>
    <w:rsid w:val="00AB2D6F"/>
    <w:rsid w:val="00AB2F47"/>
    <w:rsid w:val="00AB3181"/>
    <w:rsid w:val="00AB3C99"/>
    <w:rsid w:val="00AB4579"/>
    <w:rsid w:val="00AB4606"/>
    <w:rsid w:val="00AB4654"/>
    <w:rsid w:val="00AB4A4A"/>
    <w:rsid w:val="00AB4EC0"/>
    <w:rsid w:val="00AB5334"/>
    <w:rsid w:val="00AB578E"/>
    <w:rsid w:val="00AB5907"/>
    <w:rsid w:val="00AB5B2E"/>
    <w:rsid w:val="00AB5C12"/>
    <w:rsid w:val="00AB5C45"/>
    <w:rsid w:val="00AB5D46"/>
    <w:rsid w:val="00AB5EED"/>
    <w:rsid w:val="00AB69F1"/>
    <w:rsid w:val="00AB6AC6"/>
    <w:rsid w:val="00AB6ECA"/>
    <w:rsid w:val="00AB77EC"/>
    <w:rsid w:val="00AB7CEA"/>
    <w:rsid w:val="00AB7D0B"/>
    <w:rsid w:val="00AC00EC"/>
    <w:rsid w:val="00AC0A1A"/>
    <w:rsid w:val="00AC103E"/>
    <w:rsid w:val="00AC1057"/>
    <w:rsid w:val="00AC1060"/>
    <w:rsid w:val="00AC1D65"/>
    <w:rsid w:val="00AC2120"/>
    <w:rsid w:val="00AC25FD"/>
    <w:rsid w:val="00AC26E3"/>
    <w:rsid w:val="00AC2891"/>
    <w:rsid w:val="00AC2B8F"/>
    <w:rsid w:val="00AC2EA1"/>
    <w:rsid w:val="00AC32F2"/>
    <w:rsid w:val="00AC37F8"/>
    <w:rsid w:val="00AC39ED"/>
    <w:rsid w:val="00AC3EBD"/>
    <w:rsid w:val="00AC4336"/>
    <w:rsid w:val="00AC4371"/>
    <w:rsid w:val="00AC46E6"/>
    <w:rsid w:val="00AC4B9C"/>
    <w:rsid w:val="00AC5135"/>
    <w:rsid w:val="00AC5ECE"/>
    <w:rsid w:val="00AC6303"/>
    <w:rsid w:val="00AC6381"/>
    <w:rsid w:val="00AC63FC"/>
    <w:rsid w:val="00AC68AE"/>
    <w:rsid w:val="00AC6D27"/>
    <w:rsid w:val="00AC6D5A"/>
    <w:rsid w:val="00AC733B"/>
    <w:rsid w:val="00AC751A"/>
    <w:rsid w:val="00AC797B"/>
    <w:rsid w:val="00AC7B94"/>
    <w:rsid w:val="00AC7CEA"/>
    <w:rsid w:val="00AD04E6"/>
    <w:rsid w:val="00AD0796"/>
    <w:rsid w:val="00AD0CAD"/>
    <w:rsid w:val="00AD0D60"/>
    <w:rsid w:val="00AD14CC"/>
    <w:rsid w:val="00AD1541"/>
    <w:rsid w:val="00AD16CE"/>
    <w:rsid w:val="00AD25F9"/>
    <w:rsid w:val="00AD2752"/>
    <w:rsid w:val="00AD29D4"/>
    <w:rsid w:val="00AD3200"/>
    <w:rsid w:val="00AD33EB"/>
    <w:rsid w:val="00AD3999"/>
    <w:rsid w:val="00AD3B25"/>
    <w:rsid w:val="00AD3ED6"/>
    <w:rsid w:val="00AD464F"/>
    <w:rsid w:val="00AD4A27"/>
    <w:rsid w:val="00AD5E33"/>
    <w:rsid w:val="00AD635F"/>
    <w:rsid w:val="00AD644E"/>
    <w:rsid w:val="00AD649E"/>
    <w:rsid w:val="00AD64E8"/>
    <w:rsid w:val="00AD64EA"/>
    <w:rsid w:val="00AD673E"/>
    <w:rsid w:val="00AD6C99"/>
    <w:rsid w:val="00AD724F"/>
    <w:rsid w:val="00AD7417"/>
    <w:rsid w:val="00AD76E0"/>
    <w:rsid w:val="00AD7717"/>
    <w:rsid w:val="00AD7904"/>
    <w:rsid w:val="00AE0D78"/>
    <w:rsid w:val="00AE1400"/>
    <w:rsid w:val="00AE21E7"/>
    <w:rsid w:val="00AE223B"/>
    <w:rsid w:val="00AE25BA"/>
    <w:rsid w:val="00AE25EB"/>
    <w:rsid w:val="00AE28F7"/>
    <w:rsid w:val="00AE2CB6"/>
    <w:rsid w:val="00AE2F81"/>
    <w:rsid w:val="00AE3388"/>
    <w:rsid w:val="00AE34E7"/>
    <w:rsid w:val="00AE3AB8"/>
    <w:rsid w:val="00AE3BB8"/>
    <w:rsid w:val="00AE3D6C"/>
    <w:rsid w:val="00AE43D9"/>
    <w:rsid w:val="00AE452A"/>
    <w:rsid w:val="00AE47E9"/>
    <w:rsid w:val="00AE49BF"/>
    <w:rsid w:val="00AE49C3"/>
    <w:rsid w:val="00AE4C53"/>
    <w:rsid w:val="00AE4D01"/>
    <w:rsid w:val="00AE50BD"/>
    <w:rsid w:val="00AE56B9"/>
    <w:rsid w:val="00AE5C46"/>
    <w:rsid w:val="00AE636C"/>
    <w:rsid w:val="00AE6893"/>
    <w:rsid w:val="00AE6AB9"/>
    <w:rsid w:val="00AE6BF5"/>
    <w:rsid w:val="00AE6C57"/>
    <w:rsid w:val="00AE74C5"/>
    <w:rsid w:val="00AF0350"/>
    <w:rsid w:val="00AF08A0"/>
    <w:rsid w:val="00AF0BE3"/>
    <w:rsid w:val="00AF19F0"/>
    <w:rsid w:val="00AF1BE6"/>
    <w:rsid w:val="00AF2088"/>
    <w:rsid w:val="00AF248B"/>
    <w:rsid w:val="00AF2D5E"/>
    <w:rsid w:val="00AF332E"/>
    <w:rsid w:val="00AF3B94"/>
    <w:rsid w:val="00AF407A"/>
    <w:rsid w:val="00AF42A5"/>
    <w:rsid w:val="00AF42B8"/>
    <w:rsid w:val="00AF45BE"/>
    <w:rsid w:val="00AF45E3"/>
    <w:rsid w:val="00AF4C3C"/>
    <w:rsid w:val="00AF5190"/>
    <w:rsid w:val="00AF52C4"/>
    <w:rsid w:val="00AF579D"/>
    <w:rsid w:val="00AF5937"/>
    <w:rsid w:val="00AF5F77"/>
    <w:rsid w:val="00AF606B"/>
    <w:rsid w:val="00AF6412"/>
    <w:rsid w:val="00AF64EA"/>
    <w:rsid w:val="00AF64ED"/>
    <w:rsid w:val="00AF64F8"/>
    <w:rsid w:val="00AF68F6"/>
    <w:rsid w:val="00AF7746"/>
    <w:rsid w:val="00B0010C"/>
    <w:rsid w:val="00B005A0"/>
    <w:rsid w:val="00B00648"/>
    <w:rsid w:val="00B008C6"/>
    <w:rsid w:val="00B00A0A"/>
    <w:rsid w:val="00B00B26"/>
    <w:rsid w:val="00B00E86"/>
    <w:rsid w:val="00B0148F"/>
    <w:rsid w:val="00B01565"/>
    <w:rsid w:val="00B01765"/>
    <w:rsid w:val="00B018AB"/>
    <w:rsid w:val="00B01955"/>
    <w:rsid w:val="00B022AA"/>
    <w:rsid w:val="00B025F9"/>
    <w:rsid w:val="00B02CDD"/>
    <w:rsid w:val="00B037FE"/>
    <w:rsid w:val="00B03E84"/>
    <w:rsid w:val="00B03F24"/>
    <w:rsid w:val="00B04065"/>
    <w:rsid w:val="00B041CE"/>
    <w:rsid w:val="00B0442C"/>
    <w:rsid w:val="00B04923"/>
    <w:rsid w:val="00B04B98"/>
    <w:rsid w:val="00B050C6"/>
    <w:rsid w:val="00B051EB"/>
    <w:rsid w:val="00B05253"/>
    <w:rsid w:val="00B05283"/>
    <w:rsid w:val="00B05567"/>
    <w:rsid w:val="00B055B3"/>
    <w:rsid w:val="00B05750"/>
    <w:rsid w:val="00B05F2E"/>
    <w:rsid w:val="00B061CD"/>
    <w:rsid w:val="00B0636F"/>
    <w:rsid w:val="00B06483"/>
    <w:rsid w:val="00B06486"/>
    <w:rsid w:val="00B0672D"/>
    <w:rsid w:val="00B06A93"/>
    <w:rsid w:val="00B06E17"/>
    <w:rsid w:val="00B0701A"/>
    <w:rsid w:val="00B07957"/>
    <w:rsid w:val="00B07CB6"/>
    <w:rsid w:val="00B07D9B"/>
    <w:rsid w:val="00B1027B"/>
    <w:rsid w:val="00B10294"/>
    <w:rsid w:val="00B10568"/>
    <w:rsid w:val="00B116A6"/>
    <w:rsid w:val="00B116EF"/>
    <w:rsid w:val="00B118FB"/>
    <w:rsid w:val="00B11983"/>
    <w:rsid w:val="00B12476"/>
    <w:rsid w:val="00B126CD"/>
    <w:rsid w:val="00B12B17"/>
    <w:rsid w:val="00B12D89"/>
    <w:rsid w:val="00B13081"/>
    <w:rsid w:val="00B130BE"/>
    <w:rsid w:val="00B13123"/>
    <w:rsid w:val="00B133B0"/>
    <w:rsid w:val="00B13459"/>
    <w:rsid w:val="00B135D7"/>
    <w:rsid w:val="00B13A28"/>
    <w:rsid w:val="00B13A7B"/>
    <w:rsid w:val="00B13D45"/>
    <w:rsid w:val="00B140BE"/>
    <w:rsid w:val="00B14297"/>
    <w:rsid w:val="00B142CF"/>
    <w:rsid w:val="00B14C01"/>
    <w:rsid w:val="00B14CC8"/>
    <w:rsid w:val="00B14F13"/>
    <w:rsid w:val="00B151AC"/>
    <w:rsid w:val="00B1551C"/>
    <w:rsid w:val="00B15945"/>
    <w:rsid w:val="00B15990"/>
    <w:rsid w:val="00B15C96"/>
    <w:rsid w:val="00B15DC9"/>
    <w:rsid w:val="00B15E1F"/>
    <w:rsid w:val="00B16181"/>
    <w:rsid w:val="00B164DC"/>
    <w:rsid w:val="00B166A7"/>
    <w:rsid w:val="00B1672E"/>
    <w:rsid w:val="00B167B8"/>
    <w:rsid w:val="00B16832"/>
    <w:rsid w:val="00B16898"/>
    <w:rsid w:val="00B17322"/>
    <w:rsid w:val="00B17851"/>
    <w:rsid w:val="00B17D92"/>
    <w:rsid w:val="00B2014D"/>
    <w:rsid w:val="00B20234"/>
    <w:rsid w:val="00B20633"/>
    <w:rsid w:val="00B207A8"/>
    <w:rsid w:val="00B20C73"/>
    <w:rsid w:val="00B215F5"/>
    <w:rsid w:val="00B21B29"/>
    <w:rsid w:val="00B21BEA"/>
    <w:rsid w:val="00B21E3E"/>
    <w:rsid w:val="00B21FDE"/>
    <w:rsid w:val="00B22015"/>
    <w:rsid w:val="00B22265"/>
    <w:rsid w:val="00B22473"/>
    <w:rsid w:val="00B22807"/>
    <w:rsid w:val="00B2286B"/>
    <w:rsid w:val="00B22AD2"/>
    <w:rsid w:val="00B22CD1"/>
    <w:rsid w:val="00B244C7"/>
    <w:rsid w:val="00B24771"/>
    <w:rsid w:val="00B24A8B"/>
    <w:rsid w:val="00B24B98"/>
    <w:rsid w:val="00B25A70"/>
    <w:rsid w:val="00B25FE3"/>
    <w:rsid w:val="00B263AD"/>
    <w:rsid w:val="00B2683E"/>
    <w:rsid w:val="00B272D8"/>
    <w:rsid w:val="00B27639"/>
    <w:rsid w:val="00B27D28"/>
    <w:rsid w:val="00B30151"/>
    <w:rsid w:val="00B305B9"/>
    <w:rsid w:val="00B30B74"/>
    <w:rsid w:val="00B30F12"/>
    <w:rsid w:val="00B3125A"/>
    <w:rsid w:val="00B3125E"/>
    <w:rsid w:val="00B31327"/>
    <w:rsid w:val="00B316C7"/>
    <w:rsid w:val="00B31874"/>
    <w:rsid w:val="00B31B94"/>
    <w:rsid w:val="00B31E50"/>
    <w:rsid w:val="00B31F76"/>
    <w:rsid w:val="00B32BB3"/>
    <w:rsid w:val="00B32DDD"/>
    <w:rsid w:val="00B3301C"/>
    <w:rsid w:val="00B33392"/>
    <w:rsid w:val="00B335FC"/>
    <w:rsid w:val="00B336A4"/>
    <w:rsid w:val="00B338A2"/>
    <w:rsid w:val="00B338EE"/>
    <w:rsid w:val="00B33B22"/>
    <w:rsid w:val="00B33D4B"/>
    <w:rsid w:val="00B33DE3"/>
    <w:rsid w:val="00B33EF0"/>
    <w:rsid w:val="00B33FC5"/>
    <w:rsid w:val="00B34953"/>
    <w:rsid w:val="00B34DDD"/>
    <w:rsid w:val="00B34F63"/>
    <w:rsid w:val="00B353F5"/>
    <w:rsid w:val="00B35BDF"/>
    <w:rsid w:val="00B35F85"/>
    <w:rsid w:val="00B37511"/>
    <w:rsid w:val="00B376EB"/>
    <w:rsid w:val="00B3772C"/>
    <w:rsid w:val="00B37C8D"/>
    <w:rsid w:val="00B37FCC"/>
    <w:rsid w:val="00B40F76"/>
    <w:rsid w:val="00B414D6"/>
    <w:rsid w:val="00B41798"/>
    <w:rsid w:val="00B41809"/>
    <w:rsid w:val="00B41A2A"/>
    <w:rsid w:val="00B41C5B"/>
    <w:rsid w:val="00B42068"/>
    <w:rsid w:val="00B421CE"/>
    <w:rsid w:val="00B42712"/>
    <w:rsid w:val="00B42777"/>
    <w:rsid w:val="00B42A17"/>
    <w:rsid w:val="00B42D50"/>
    <w:rsid w:val="00B42F8E"/>
    <w:rsid w:val="00B434BE"/>
    <w:rsid w:val="00B439F0"/>
    <w:rsid w:val="00B43D02"/>
    <w:rsid w:val="00B43F18"/>
    <w:rsid w:val="00B44479"/>
    <w:rsid w:val="00B44B1F"/>
    <w:rsid w:val="00B44C41"/>
    <w:rsid w:val="00B4575A"/>
    <w:rsid w:val="00B45783"/>
    <w:rsid w:val="00B45B7D"/>
    <w:rsid w:val="00B45CC5"/>
    <w:rsid w:val="00B45DD5"/>
    <w:rsid w:val="00B45ED6"/>
    <w:rsid w:val="00B46221"/>
    <w:rsid w:val="00B46993"/>
    <w:rsid w:val="00B46BF5"/>
    <w:rsid w:val="00B46CF3"/>
    <w:rsid w:val="00B46CF9"/>
    <w:rsid w:val="00B46F8D"/>
    <w:rsid w:val="00B470D4"/>
    <w:rsid w:val="00B473A4"/>
    <w:rsid w:val="00B47427"/>
    <w:rsid w:val="00B474EE"/>
    <w:rsid w:val="00B47536"/>
    <w:rsid w:val="00B4772B"/>
    <w:rsid w:val="00B47928"/>
    <w:rsid w:val="00B479BD"/>
    <w:rsid w:val="00B5054A"/>
    <w:rsid w:val="00B50BB3"/>
    <w:rsid w:val="00B51322"/>
    <w:rsid w:val="00B5148E"/>
    <w:rsid w:val="00B51945"/>
    <w:rsid w:val="00B51BC2"/>
    <w:rsid w:val="00B51C9C"/>
    <w:rsid w:val="00B51ED5"/>
    <w:rsid w:val="00B5226B"/>
    <w:rsid w:val="00B5256E"/>
    <w:rsid w:val="00B52992"/>
    <w:rsid w:val="00B52DF6"/>
    <w:rsid w:val="00B52F04"/>
    <w:rsid w:val="00B531D4"/>
    <w:rsid w:val="00B5340A"/>
    <w:rsid w:val="00B5424A"/>
    <w:rsid w:val="00B5454F"/>
    <w:rsid w:val="00B54605"/>
    <w:rsid w:val="00B54677"/>
    <w:rsid w:val="00B547C3"/>
    <w:rsid w:val="00B54A44"/>
    <w:rsid w:val="00B54F1B"/>
    <w:rsid w:val="00B54F42"/>
    <w:rsid w:val="00B55095"/>
    <w:rsid w:val="00B55137"/>
    <w:rsid w:val="00B554FD"/>
    <w:rsid w:val="00B5580A"/>
    <w:rsid w:val="00B55B3F"/>
    <w:rsid w:val="00B55D85"/>
    <w:rsid w:val="00B55E92"/>
    <w:rsid w:val="00B5682F"/>
    <w:rsid w:val="00B569AC"/>
    <w:rsid w:val="00B56ADB"/>
    <w:rsid w:val="00B570AD"/>
    <w:rsid w:val="00B57118"/>
    <w:rsid w:val="00B57494"/>
    <w:rsid w:val="00B57922"/>
    <w:rsid w:val="00B602D0"/>
    <w:rsid w:val="00B6033A"/>
    <w:rsid w:val="00B60F06"/>
    <w:rsid w:val="00B6112F"/>
    <w:rsid w:val="00B61503"/>
    <w:rsid w:val="00B618BB"/>
    <w:rsid w:val="00B61E3B"/>
    <w:rsid w:val="00B61F70"/>
    <w:rsid w:val="00B6212F"/>
    <w:rsid w:val="00B62141"/>
    <w:rsid w:val="00B621FA"/>
    <w:rsid w:val="00B622DC"/>
    <w:rsid w:val="00B623ED"/>
    <w:rsid w:val="00B62540"/>
    <w:rsid w:val="00B62813"/>
    <w:rsid w:val="00B62833"/>
    <w:rsid w:val="00B62B2D"/>
    <w:rsid w:val="00B62D38"/>
    <w:rsid w:val="00B638BB"/>
    <w:rsid w:val="00B63CFC"/>
    <w:rsid w:val="00B63E92"/>
    <w:rsid w:val="00B63F32"/>
    <w:rsid w:val="00B6481F"/>
    <w:rsid w:val="00B649BD"/>
    <w:rsid w:val="00B64A31"/>
    <w:rsid w:val="00B64B0D"/>
    <w:rsid w:val="00B65463"/>
    <w:rsid w:val="00B6549D"/>
    <w:rsid w:val="00B65788"/>
    <w:rsid w:val="00B65BAF"/>
    <w:rsid w:val="00B65FF8"/>
    <w:rsid w:val="00B665FA"/>
    <w:rsid w:val="00B66697"/>
    <w:rsid w:val="00B66862"/>
    <w:rsid w:val="00B672F0"/>
    <w:rsid w:val="00B67335"/>
    <w:rsid w:val="00B67ADB"/>
    <w:rsid w:val="00B67ADC"/>
    <w:rsid w:val="00B700AC"/>
    <w:rsid w:val="00B700CD"/>
    <w:rsid w:val="00B70163"/>
    <w:rsid w:val="00B70185"/>
    <w:rsid w:val="00B702D2"/>
    <w:rsid w:val="00B7114C"/>
    <w:rsid w:val="00B71169"/>
    <w:rsid w:val="00B71E27"/>
    <w:rsid w:val="00B7211C"/>
    <w:rsid w:val="00B7214D"/>
    <w:rsid w:val="00B722DC"/>
    <w:rsid w:val="00B7272E"/>
    <w:rsid w:val="00B72A29"/>
    <w:rsid w:val="00B72B1D"/>
    <w:rsid w:val="00B72D52"/>
    <w:rsid w:val="00B73060"/>
    <w:rsid w:val="00B734B2"/>
    <w:rsid w:val="00B7381F"/>
    <w:rsid w:val="00B73F37"/>
    <w:rsid w:val="00B74562"/>
    <w:rsid w:val="00B74825"/>
    <w:rsid w:val="00B74EDB"/>
    <w:rsid w:val="00B750A3"/>
    <w:rsid w:val="00B75937"/>
    <w:rsid w:val="00B76879"/>
    <w:rsid w:val="00B7697B"/>
    <w:rsid w:val="00B76A75"/>
    <w:rsid w:val="00B76BF8"/>
    <w:rsid w:val="00B77A07"/>
    <w:rsid w:val="00B800F9"/>
    <w:rsid w:val="00B804B9"/>
    <w:rsid w:val="00B80AAE"/>
    <w:rsid w:val="00B80BA4"/>
    <w:rsid w:val="00B80E5F"/>
    <w:rsid w:val="00B811A1"/>
    <w:rsid w:val="00B811FD"/>
    <w:rsid w:val="00B81203"/>
    <w:rsid w:val="00B81502"/>
    <w:rsid w:val="00B815CB"/>
    <w:rsid w:val="00B81858"/>
    <w:rsid w:val="00B81EC5"/>
    <w:rsid w:val="00B82180"/>
    <w:rsid w:val="00B82C17"/>
    <w:rsid w:val="00B82F5F"/>
    <w:rsid w:val="00B832A4"/>
    <w:rsid w:val="00B833F4"/>
    <w:rsid w:val="00B836ED"/>
    <w:rsid w:val="00B83780"/>
    <w:rsid w:val="00B837B5"/>
    <w:rsid w:val="00B83968"/>
    <w:rsid w:val="00B83C25"/>
    <w:rsid w:val="00B8423A"/>
    <w:rsid w:val="00B842DB"/>
    <w:rsid w:val="00B84545"/>
    <w:rsid w:val="00B84586"/>
    <w:rsid w:val="00B847F8"/>
    <w:rsid w:val="00B849F0"/>
    <w:rsid w:val="00B850F7"/>
    <w:rsid w:val="00B85A4D"/>
    <w:rsid w:val="00B8696F"/>
    <w:rsid w:val="00B86C39"/>
    <w:rsid w:val="00B86C5F"/>
    <w:rsid w:val="00B8705C"/>
    <w:rsid w:val="00B87197"/>
    <w:rsid w:val="00B872AA"/>
    <w:rsid w:val="00B87725"/>
    <w:rsid w:val="00B87A07"/>
    <w:rsid w:val="00B87A68"/>
    <w:rsid w:val="00B87B43"/>
    <w:rsid w:val="00B87D29"/>
    <w:rsid w:val="00B90180"/>
    <w:rsid w:val="00B904FA"/>
    <w:rsid w:val="00B90601"/>
    <w:rsid w:val="00B90C35"/>
    <w:rsid w:val="00B90FF4"/>
    <w:rsid w:val="00B9129C"/>
    <w:rsid w:val="00B91550"/>
    <w:rsid w:val="00B91CDB"/>
    <w:rsid w:val="00B91ED9"/>
    <w:rsid w:val="00B921DB"/>
    <w:rsid w:val="00B92258"/>
    <w:rsid w:val="00B929C6"/>
    <w:rsid w:val="00B929F5"/>
    <w:rsid w:val="00B92BF9"/>
    <w:rsid w:val="00B93347"/>
    <w:rsid w:val="00B933C8"/>
    <w:rsid w:val="00B938FC"/>
    <w:rsid w:val="00B93C49"/>
    <w:rsid w:val="00B940EC"/>
    <w:rsid w:val="00B945F3"/>
    <w:rsid w:val="00B9498F"/>
    <w:rsid w:val="00B9507F"/>
    <w:rsid w:val="00B95216"/>
    <w:rsid w:val="00B9579D"/>
    <w:rsid w:val="00B95978"/>
    <w:rsid w:val="00B9602D"/>
    <w:rsid w:val="00B96360"/>
    <w:rsid w:val="00B967BA"/>
    <w:rsid w:val="00B969BC"/>
    <w:rsid w:val="00B96BFA"/>
    <w:rsid w:val="00B970E0"/>
    <w:rsid w:val="00B9744C"/>
    <w:rsid w:val="00B97703"/>
    <w:rsid w:val="00B9778A"/>
    <w:rsid w:val="00B97B81"/>
    <w:rsid w:val="00BA043E"/>
    <w:rsid w:val="00BA0AED"/>
    <w:rsid w:val="00BA1245"/>
    <w:rsid w:val="00BA1411"/>
    <w:rsid w:val="00BA1542"/>
    <w:rsid w:val="00BA1909"/>
    <w:rsid w:val="00BA1930"/>
    <w:rsid w:val="00BA1E4E"/>
    <w:rsid w:val="00BA258B"/>
    <w:rsid w:val="00BA316B"/>
    <w:rsid w:val="00BA3CA0"/>
    <w:rsid w:val="00BA3D31"/>
    <w:rsid w:val="00BA3D6B"/>
    <w:rsid w:val="00BA3FC4"/>
    <w:rsid w:val="00BA4036"/>
    <w:rsid w:val="00BA40CF"/>
    <w:rsid w:val="00BA4304"/>
    <w:rsid w:val="00BA49CE"/>
    <w:rsid w:val="00BA4F93"/>
    <w:rsid w:val="00BA50EC"/>
    <w:rsid w:val="00BA51EB"/>
    <w:rsid w:val="00BA536D"/>
    <w:rsid w:val="00BA5383"/>
    <w:rsid w:val="00BA546D"/>
    <w:rsid w:val="00BA5FFE"/>
    <w:rsid w:val="00BA6341"/>
    <w:rsid w:val="00BA69B7"/>
    <w:rsid w:val="00BA6BD6"/>
    <w:rsid w:val="00BA6D8D"/>
    <w:rsid w:val="00BA6DE2"/>
    <w:rsid w:val="00BA70A6"/>
    <w:rsid w:val="00BA72BD"/>
    <w:rsid w:val="00BA7817"/>
    <w:rsid w:val="00BA7B72"/>
    <w:rsid w:val="00BA7F6F"/>
    <w:rsid w:val="00BB0519"/>
    <w:rsid w:val="00BB0578"/>
    <w:rsid w:val="00BB074E"/>
    <w:rsid w:val="00BB07C1"/>
    <w:rsid w:val="00BB0852"/>
    <w:rsid w:val="00BB0AAD"/>
    <w:rsid w:val="00BB0BE7"/>
    <w:rsid w:val="00BB24FB"/>
    <w:rsid w:val="00BB2A88"/>
    <w:rsid w:val="00BB3273"/>
    <w:rsid w:val="00BB3594"/>
    <w:rsid w:val="00BB3753"/>
    <w:rsid w:val="00BB3769"/>
    <w:rsid w:val="00BB3A27"/>
    <w:rsid w:val="00BB3A5A"/>
    <w:rsid w:val="00BB404C"/>
    <w:rsid w:val="00BB4057"/>
    <w:rsid w:val="00BB44D2"/>
    <w:rsid w:val="00BB509A"/>
    <w:rsid w:val="00BB51E3"/>
    <w:rsid w:val="00BB55D0"/>
    <w:rsid w:val="00BB5A4F"/>
    <w:rsid w:val="00BB5A51"/>
    <w:rsid w:val="00BB5ABC"/>
    <w:rsid w:val="00BB5E27"/>
    <w:rsid w:val="00BB615D"/>
    <w:rsid w:val="00BB652A"/>
    <w:rsid w:val="00BB6B64"/>
    <w:rsid w:val="00BB6BE3"/>
    <w:rsid w:val="00BB6F9A"/>
    <w:rsid w:val="00BB70B6"/>
    <w:rsid w:val="00BB741F"/>
    <w:rsid w:val="00BB7936"/>
    <w:rsid w:val="00BC0204"/>
    <w:rsid w:val="00BC03D6"/>
    <w:rsid w:val="00BC0527"/>
    <w:rsid w:val="00BC069B"/>
    <w:rsid w:val="00BC0F9E"/>
    <w:rsid w:val="00BC1C7D"/>
    <w:rsid w:val="00BC2724"/>
    <w:rsid w:val="00BC27E6"/>
    <w:rsid w:val="00BC28DD"/>
    <w:rsid w:val="00BC2BE1"/>
    <w:rsid w:val="00BC327A"/>
    <w:rsid w:val="00BC3B5C"/>
    <w:rsid w:val="00BC3F48"/>
    <w:rsid w:val="00BC4612"/>
    <w:rsid w:val="00BC46E7"/>
    <w:rsid w:val="00BC4F6B"/>
    <w:rsid w:val="00BC521D"/>
    <w:rsid w:val="00BC54BD"/>
    <w:rsid w:val="00BC6485"/>
    <w:rsid w:val="00BC7155"/>
    <w:rsid w:val="00BC72B7"/>
    <w:rsid w:val="00BD0189"/>
    <w:rsid w:val="00BD029A"/>
    <w:rsid w:val="00BD03B6"/>
    <w:rsid w:val="00BD0753"/>
    <w:rsid w:val="00BD0EB3"/>
    <w:rsid w:val="00BD0FF5"/>
    <w:rsid w:val="00BD1074"/>
    <w:rsid w:val="00BD136C"/>
    <w:rsid w:val="00BD139F"/>
    <w:rsid w:val="00BD1A9E"/>
    <w:rsid w:val="00BD1F16"/>
    <w:rsid w:val="00BD2066"/>
    <w:rsid w:val="00BD24AE"/>
    <w:rsid w:val="00BD2B0A"/>
    <w:rsid w:val="00BD4F14"/>
    <w:rsid w:val="00BD55A5"/>
    <w:rsid w:val="00BD5691"/>
    <w:rsid w:val="00BD5E27"/>
    <w:rsid w:val="00BD5ED5"/>
    <w:rsid w:val="00BD6040"/>
    <w:rsid w:val="00BD6178"/>
    <w:rsid w:val="00BD6203"/>
    <w:rsid w:val="00BD6ABB"/>
    <w:rsid w:val="00BD6D45"/>
    <w:rsid w:val="00BD747B"/>
    <w:rsid w:val="00BD76E7"/>
    <w:rsid w:val="00BD77F2"/>
    <w:rsid w:val="00BD7944"/>
    <w:rsid w:val="00BD7BA9"/>
    <w:rsid w:val="00BD7EC8"/>
    <w:rsid w:val="00BE01D3"/>
    <w:rsid w:val="00BE0A94"/>
    <w:rsid w:val="00BE0EA1"/>
    <w:rsid w:val="00BE10D4"/>
    <w:rsid w:val="00BE153E"/>
    <w:rsid w:val="00BE1FF5"/>
    <w:rsid w:val="00BE24E1"/>
    <w:rsid w:val="00BE2603"/>
    <w:rsid w:val="00BE274B"/>
    <w:rsid w:val="00BE2AE3"/>
    <w:rsid w:val="00BE3348"/>
    <w:rsid w:val="00BE3690"/>
    <w:rsid w:val="00BE3A21"/>
    <w:rsid w:val="00BE4666"/>
    <w:rsid w:val="00BE484F"/>
    <w:rsid w:val="00BE4E6B"/>
    <w:rsid w:val="00BE5268"/>
    <w:rsid w:val="00BE5321"/>
    <w:rsid w:val="00BE53CA"/>
    <w:rsid w:val="00BE547F"/>
    <w:rsid w:val="00BE57A8"/>
    <w:rsid w:val="00BE60C3"/>
    <w:rsid w:val="00BE6257"/>
    <w:rsid w:val="00BE63EE"/>
    <w:rsid w:val="00BE65F5"/>
    <w:rsid w:val="00BE6760"/>
    <w:rsid w:val="00BE701F"/>
    <w:rsid w:val="00BE736A"/>
    <w:rsid w:val="00BF017C"/>
    <w:rsid w:val="00BF04A3"/>
    <w:rsid w:val="00BF057B"/>
    <w:rsid w:val="00BF0971"/>
    <w:rsid w:val="00BF0D80"/>
    <w:rsid w:val="00BF0DAF"/>
    <w:rsid w:val="00BF0F5E"/>
    <w:rsid w:val="00BF129B"/>
    <w:rsid w:val="00BF14B7"/>
    <w:rsid w:val="00BF18F3"/>
    <w:rsid w:val="00BF19ED"/>
    <w:rsid w:val="00BF1E0D"/>
    <w:rsid w:val="00BF2475"/>
    <w:rsid w:val="00BF2827"/>
    <w:rsid w:val="00BF2F6C"/>
    <w:rsid w:val="00BF30BA"/>
    <w:rsid w:val="00BF33B6"/>
    <w:rsid w:val="00BF3412"/>
    <w:rsid w:val="00BF35AA"/>
    <w:rsid w:val="00BF3B63"/>
    <w:rsid w:val="00BF3B83"/>
    <w:rsid w:val="00BF42F0"/>
    <w:rsid w:val="00BF4432"/>
    <w:rsid w:val="00BF4443"/>
    <w:rsid w:val="00BF469C"/>
    <w:rsid w:val="00BF4956"/>
    <w:rsid w:val="00BF4DAF"/>
    <w:rsid w:val="00BF5361"/>
    <w:rsid w:val="00BF5517"/>
    <w:rsid w:val="00BF59DE"/>
    <w:rsid w:val="00BF6373"/>
    <w:rsid w:val="00BF63C7"/>
    <w:rsid w:val="00BF673B"/>
    <w:rsid w:val="00BF7512"/>
    <w:rsid w:val="00C004A0"/>
    <w:rsid w:val="00C01090"/>
    <w:rsid w:val="00C0142C"/>
    <w:rsid w:val="00C01B6A"/>
    <w:rsid w:val="00C01D15"/>
    <w:rsid w:val="00C01EB7"/>
    <w:rsid w:val="00C02024"/>
    <w:rsid w:val="00C02699"/>
    <w:rsid w:val="00C02729"/>
    <w:rsid w:val="00C02A62"/>
    <w:rsid w:val="00C02BE9"/>
    <w:rsid w:val="00C02C5A"/>
    <w:rsid w:val="00C030D5"/>
    <w:rsid w:val="00C033D8"/>
    <w:rsid w:val="00C03916"/>
    <w:rsid w:val="00C039E4"/>
    <w:rsid w:val="00C03B65"/>
    <w:rsid w:val="00C03BC1"/>
    <w:rsid w:val="00C042D1"/>
    <w:rsid w:val="00C045F6"/>
    <w:rsid w:val="00C0480B"/>
    <w:rsid w:val="00C04864"/>
    <w:rsid w:val="00C04DD9"/>
    <w:rsid w:val="00C057E8"/>
    <w:rsid w:val="00C05A3D"/>
    <w:rsid w:val="00C066A1"/>
    <w:rsid w:val="00C067A3"/>
    <w:rsid w:val="00C06FDE"/>
    <w:rsid w:val="00C071C9"/>
    <w:rsid w:val="00C071DF"/>
    <w:rsid w:val="00C0756A"/>
    <w:rsid w:val="00C07A10"/>
    <w:rsid w:val="00C07AAA"/>
    <w:rsid w:val="00C07EE0"/>
    <w:rsid w:val="00C10084"/>
    <w:rsid w:val="00C10296"/>
    <w:rsid w:val="00C1047A"/>
    <w:rsid w:val="00C106AE"/>
    <w:rsid w:val="00C10871"/>
    <w:rsid w:val="00C10D9B"/>
    <w:rsid w:val="00C11349"/>
    <w:rsid w:val="00C113B8"/>
    <w:rsid w:val="00C11AF6"/>
    <w:rsid w:val="00C11C24"/>
    <w:rsid w:val="00C120B8"/>
    <w:rsid w:val="00C12115"/>
    <w:rsid w:val="00C12C82"/>
    <w:rsid w:val="00C12F59"/>
    <w:rsid w:val="00C13A44"/>
    <w:rsid w:val="00C13D7F"/>
    <w:rsid w:val="00C13F5C"/>
    <w:rsid w:val="00C14168"/>
    <w:rsid w:val="00C14192"/>
    <w:rsid w:val="00C14310"/>
    <w:rsid w:val="00C145E1"/>
    <w:rsid w:val="00C1471B"/>
    <w:rsid w:val="00C14EF0"/>
    <w:rsid w:val="00C15120"/>
    <w:rsid w:val="00C157E7"/>
    <w:rsid w:val="00C15A52"/>
    <w:rsid w:val="00C15D68"/>
    <w:rsid w:val="00C16DFA"/>
    <w:rsid w:val="00C16ED2"/>
    <w:rsid w:val="00C17049"/>
    <w:rsid w:val="00C1708B"/>
    <w:rsid w:val="00C1750E"/>
    <w:rsid w:val="00C1767F"/>
    <w:rsid w:val="00C17ABE"/>
    <w:rsid w:val="00C17DD5"/>
    <w:rsid w:val="00C2051B"/>
    <w:rsid w:val="00C20E4D"/>
    <w:rsid w:val="00C20FE3"/>
    <w:rsid w:val="00C2105D"/>
    <w:rsid w:val="00C2195B"/>
    <w:rsid w:val="00C21BCE"/>
    <w:rsid w:val="00C21DB0"/>
    <w:rsid w:val="00C21E2C"/>
    <w:rsid w:val="00C21F44"/>
    <w:rsid w:val="00C22067"/>
    <w:rsid w:val="00C222FD"/>
    <w:rsid w:val="00C22852"/>
    <w:rsid w:val="00C22D83"/>
    <w:rsid w:val="00C22E0D"/>
    <w:rsid w:val="00C22F92"/>
    <w:rsid w:val="00C23426"/>
    <w:rsid w:val="00C23496"/>
    <w:rsid w:val="00C23E37"/>
    <w:rsid w:val="00C24234"/>
    <w:rsid w:val="00C2494C"/>
    <w:rsid w:val="00C253F8"/>
    <w:rsid w:val="00C259E3"/>
    <w:rsid w:val="00C25A70"/>
    <w:rsid w:val="00C25B41"/>
    <w:rsid w:val="00C2603A"/>
    <w:rsid w:val="00C262C1"/>
    <w:rsid w:val="00C267EE"/>
    <w:rsid w:val="00C26848"/>
    <w:rsid w:val="00C2693B"/>
    <w:rsid w:val="00C26B41"/>
    <w:rsid w:val="00C26E6F"/>
    <w:rsid w:val="00C27216"/>
    <w:rsid w:val="00C272A7"/>
    <w:rsid w:val="00C272DD"/>
    <w:rsid w:val="00C27341"/>
    <w:rsid w:val="00C276B3"/>
    <w:rsid w:val="00C30CF2"/>
    <w:rsid w:val="00C3122E"/>
    <w:rsid w:val="00C3125D"/>
    <w:rsid w:val="00C31362"/>
    <w:rsid w:val="00C31742"/>
    <w:rsid w:val="00C31AC4"/>
    <w:rsid w:val="00C32401"/>
    <w:rsid w:val="00C32781"/>
    <w:rsid w:val="00C32DCD"/>
    <w:rsid w:val="00C331D5"/>
    <w:rsid w:val="00C33420"/>
    <w:rsid w:val="00C335DC"/>
    <w:rsid w:val="00C33748"/>
    <w:rsid w:val="00C338E4"/>
    <w:rsid w:val="00C33E58"/>
    <w:rsid w:val="00C34BB1"/>
    <w:rsid w:val="00C34F15"/>
    <w:rsid w:val="00C34FEE"/>
    <w:rsid w:val="00C351E7"/>
    <w:rsid w:val="00C35601"/>
    <w:rsid w:val="00C35717"/>
    <w:rsid w:val="00C3586B"/>
    <w:rsid w:val="00C3595D"/>
    <w:rsid w:val="00C3699C"/>
    <w:rsid w:val="00C36B2B"/>
    <w:rsid w:val="00C371E3"/>
    <w:rsid w:val="00C37B65"/>
    <w:rsid w:val="00C37BCE"/>
    <w:rsid w:val="00C37CC7"/>
    <w:rsid w:val="00C40282"/>
    <w:rsid w:val="00C4047C"/>
    <w:rsid w:val="00C409C5"/>
    <w:rsid w:val="00C409DB"/>
    <w:rsid w:val="00C40BC4"/>
    <w:rsid w:val="00C40CF0"/>
    <w:rsid w:val="00C40E68"/>
    <w:rsid w:val="00C412E9"/>
    <w:rsid w:val="00C4184E"/>
    <w:rsid w:val="00C41E43"/>
    <w:rsid w:val="00C41FDB"/>
    <w:rsid w:val="00C42914"/>
    <w:rsid w:val="00C43192"/>
    <w:rsid w:val="00C43FBE"/>
    <w:rsid w:val="00C44675"/>
    <w:rsid w:val="00C44EB6"/>
    <w:rsid w:val="00C4514A"/>
    <w:rsid w:val="00C45646"/>
    <w:rsid w:val="00C45946"/>
    <w:rsid w:val="00C45AE7"/>
    <w:rsid w:val="00C45B6C"/>
    <w:rsid w:val="00C45FE0"/>
    <w:rsid w:val="00C460EF"/>
    <w:rsid w:val="00C464A5"/>
    <w:rsid w:val="00C46EC5"/>
    <w:rsid w:val="00C470D9"/>
    <w:rsid w:val="00C47594"/>
    <w:rsid w:val="00C47609"/>
    <w:rsid w:val="00C477FD"/>
    <w:rsid w:val="00C508B5"/>
    <w:rsid w:val="00C50DB2"/>
    <w:rsid w:val="00C517DB"/>
    <w:rsid w:val="00C51809"/>
    <w:rsid w:val="00C5183E"/>
    <w:rsid w:val="00C51A7A"/>
    <w:rsid w:val="00C52B6B"/>
    <w:rsid w:val="00C52C41"/>
    <w:rsid w:val="00C5329A"/>
    <w:rsid w:val="00C5338E"/>
    <w:rsid w:val="00C53853"/>
    <w:rsid w:val="00C53C6D"/>
    <w:rsid w:val="00C54A4F"/>
    <w:rsid w:val="00C5537A"/>
    <w:rsid w:val="00C5543B"/>
    <w:rsid w:val="00C559D5"/>
    <w:rsid w:val="00C55EC9"/>
    <w:rsid w:val="00C55F6A"/>
    <w:rsid w:val="00C56999"/>
    <w:rsid w:val="00C56A2F"/>
    <w:rsid w:val="00C56C1B"/>
    <w:rsid w:val="00C570B6"/>
    <w:rsid w:val="00C572E8"/>
    <w:rsid w:val="00C60152"/>
    <w:rsid w:val="00C60877"/>
    <w:rsid w:val="00C61497"/>
    <w:rsid w:val="00C61644"/>
    <w:rsid w:val="00C61756"/>
    <w:rsid w:val="00C61893"/>
    <w:rsid w:val="00C61DB5"/>
    <w:rsid w:val="00C62056"/>
    <w:rsid w:val="00C62294"/>
    <w:rsid w:val="00C623A8"/>
    <w:rsid w:val="00C625B4"/>
    <w:rsid w:val="00C6261F"/>
    <w:rsid w:val="00C62719"/>
    <w:rsid w:val="00C629B3"/>
    <w:rsid w:val="00C634EC"/>
    <w:rsid w:val="00C64902"/>
    <w:rsid w:val="00C65086"/>
    <w:rsid w:val="00C65DAF"/>
    <w:rsid w:val="00C65DD1"/>
    <w:rsid w:val="00C663D9"/>
    <w:rsid w:val="00C667F6"/>
    <w:rsid w:val="00C6740F"/>
    <w:rsid w:val="00C67420"/>
    <w:rsid w:val="00C67AFB"/>
    <w:rsid w:val="00C67B94"/>
    <w:rsid w:val="00C67D52"/>
    <w:rsid w:val="00C70BD1"/>
    <w:rsid w:val="00C70F56"/>
    <w:rsid w:val="00C71634"/>
    <w:rsid w:val="00C71FE1"/>
    <w:rsid w:val="00C722DE"/>
    <w:rsid w:val="00C728DF"/>
    <w:rsid w:val="00C72B99"/>
    <w:rsid w:val="00C73093"/>
    <w:rsid w:val="00C73199"/>
    <w:rsid w:val="00C7389D"/>
    <w:rsid w:val="00C7397C"/>
    <w:rsid w:val="00C7397F"/>
    <w:rsid w:val="00C7514D"/>
    <w:rsid w:val="00C75B1D"/>
    <w:rsid w:val="00C75EB9"/>
    <w:rsid w:val="00C7629B"/>
    <w:rsid w:val="00C76B9D"/>
    <w:rsid w:val="00C76C86"/>
    <w:rsid w:val="00C76CBF"/>
    <w:rsid w:val="00C7762D"/>
    <w:rsid w:val="00C77918"/>
    <w:rsid w:val="00C77ADE"/>
    <w:rsid w:val="00C77C20"/>
    <w:rsid w:val="00C800F2"/>
    <w:rsid w:val="00C80301"/>
    <w:rsid w:val="00C80785"/>
    <w:rsid w:val="00C8088C"/>
    <w:rsid w:val="00C80A70"/>
    <w:rsid w:val="00C8101C"/>
    <w:rsid w:val="00C821DA"/>
    <w:rsid w:val="00C82B85"/>
    <w:rsid w:val="00C82F9E"/>
    <w:rsid w:val="00C83025"/>
    <w:rsid w:val="00C830B4"/>
    <w:rsid w:val="00C83636"/>
    <w:rsid w:val="00C838FC"/>
    <w:rsid w:val="00C8396F"/>
    <w:rsid w:val="00C83AEB"/>
    <w:rsid w:val="00C83D71"/>
    <w:rsid w:val="00C846DB"/>
    <w:rsid w:val="00C846E8"/>
    <w:rsid w:val="00C8486B"/>
    <w:rsid w:val="00C8490C"/>
    <w:rsid w:val="00C8490F"/>
    <w:rsid w:val="00C84E75"/>
    <w:rsid w:val="00C84EC3"/>
    <w:rsid w:val="00C850E7"/>
    <w:rsid w:val="00C850F5"/>
    <w:rsid w:val="00C851D6"/>
    <w:rsid w:val="00C85229"/>
    <w:rsid w:val="00C856FA"/>
    <w:rsid w:val="00C85961"/>
    <w:rsid w:val="00C85FBC"/>
    <w:rsid w:val="00C85FD2"/>
    <w:rsid w:val="00C864EE"/>
    <w:rsid w:val="00C86B48"/>
    <w:rsid w:val="00C86DF2"/>
    <w:rsid w:val="00C86E1C"/>
    <w:rsid w:val="00C8790D"/>
    <w:rsid w:val="00C9042B"/>
    <w:rsid w:val="00C90437"/>
    <w:rsid w:val="00C90536"/>
    <w:rsid w:val="00C9057E"/>
    <w:rsid w:val="00C905EB"/>
    <w:rsid w:val="00C9083D"/>
    <w:rsid w:val="00C9085A"/>
    <w:rsid w:val="00C90B89"/>
    <w:rsid w:val="00C91952"/>
    <w:rsid w:val="00C91D51"/>
    <w:rsid w:val="00C91DFA"/>
    <w:rsid w:val="00C920B2"/>
    <w:rsid w:val="00C92232"/>
    <w:rsid w:val="00C92B8E"/>
    <w:rsid w:val="00C93704"/>
    <w:rsid w:val="00C9411C"/>
    <w:rsid w:val="00C941EB"/>
    <w:rsid w:val="00C942B7"/>
    <w:rsid w:val="00C948E8"/>
    <w:rsid w:val="00C94B32"/>
    <w:rsid w:val="00C94DCB"/>
    <w:rsid w:val="00C94F21"/>
    <w:rsid w:val="00C9554B"/>
    <w:rsid w:val="00C9579A"/>
    <w:rsid w:val="00C95887"/>
    <w:rsid w:val="00C960C6"/>
    <w:rsid w:val="00C961A7"/>
    <w:rsid w:val="00C9647F"/>
    <w:rsid w:val="00C964DA"/>
    <w:rsid w:val="00C96D70"/>
    <w:rsid w:val="00C96EE5"/>
    <w:rsid w:val="00C96F01"/>
    <w:rsid w:val="00C9755B"/>
    <w:rsid w:val="00C9769B"/>
    <w:rsid w:val="00C978A3"/>
    <w:rsid w:val="00C978B6"/>
    <w:rsid w:val="00C97B94"/>
    <w:rsid w:val="00C97DB1"/>
    <w:rsid w:val="00C97E2B"/>
    <w:rsid w:val="00C97FC2"/>
    <w:rsid w:val="00CA02F7"/>
    <w:rsid w:val="00CA0755"/>
    <w:rsid w:val="00CA07A9"/>
    <w:rsid w:val="00CA0B52"/>
    <w:rsid w:val="00CA19E9"/>
    <w:rsid w:val="00CA1BDF"/>
    <w:rsid w:val="00CA1D50"/>
    <w:rsid w:val="00CA1E08"/>
    <w:rsid w:val="00CA2637"/>
    <w:rsid w:val="00CA263D"/>
    <w:rsid w:val="00CA2739"/>
    <w:rsid w:val="00CA2954"/>
    <w:rsid w:val="00CA2F0C"/>
    <w:rsid w:val="00CA36F4"/>
    <w:rsid w:val="00CA3B0C"/>
    <w:rsid w:val="00CA3B1A"/>
    <w:rsid w:val="00CA3DBC"/>
    <w:rsid w:val="00CA3E0E"/>
    <w:rsid w:val="00CA401F"/>
    <w:rsid w:val="00CA449B"/>
    <w:rsid w:val="00CA44CA"/>
    <w:rsid w:val="00CA486A"/>
    <w:rsid w:val="00CA4E19"/>
    <w:rsid w:val="00CA53F9"/>
    <w:rsid w:val="00CA5D35"/>
    <w:rsid w:val="00CA5DF3"/>
    <w:rsid w:val="00CA6169"/>
    <w:rsid w:val="00CA63D2"/>
    <w:rsid w:val="00CA678E"/>
    <w:rsid w:val="00CA6B3B"/>
    <w:rsid w:val="00CA6FEF"/>
    <w:rsid w:val="00CA73DB"/>
    <w:rsid w:val="00CA7734"/>
    <w:rsid w:val="00CA7866"/>
    <w:rsid w:val="00CA78A2"/>
    <w:rsid w:val="00CA7AE8"/>
    <w:rsid w:val="00CB0378"/>
    <w:rsid w:val="00CB04F8"/>
    <w:rsid w:val="00CB0B0F"/>
    <w:rsid w:val="00CB1450"/>
    <w:rsid w:val="00CB177A"/>
    <w:rsid w:val="00CB1DD6"/>
    <w:rsid w:val="00CB1EF6"/>
    <w:rsid w:val="00CB2002"/>
    <w:rsid w:val="00CB2258"/>
    <w:rsid w:val="00CB2DD8"/>
    <w:rsid w:val="00CB3287"/>
    <w:rsid w:val="00CB38C6"/>
    <w:rsid w:val="00CB3E86"/>
    <w:rsid w:val="00CB4145"/>
    <w:rsid w:val="00CB4464"/>
    <w:rsid w:val="00CB4538"/>
    <w:rsid w:val="00CB4CFC"/>
    <w:rsid w:val="00CB5182"/>
    <w:rsid w:val="00CB51A2"/>
    <w:rsid w:val="00CB52BF"/>
    <w:rsid w:val="00CB5466"/>
    <w:rsid w:val="00CB579D"/>
    <w:rsid w:val="00CB5EB1"/>
    <w:rsid w:val="00CB5FB4"/>
    <w:rsid w:val="00CB6407"/>
    <w:rsid w:val="00CB64C9"/>
    <w:rsid w:val="00CB6553"/>
    <w:rsid w:val="00CB6782"/>
    <w:rsid w:val="00CB6916"/>
    <w:rsid w:val="00CB6958"/>
    <w:rsid w:val="00CB6F1E"/>
    <w:rsid w:val="00CB75FC"/>
    <w:rsid w:val="00CB7852"/>
    <w:rsid w:val="00CB7855"/>
    <w:rsid w:val="00CB7CA2"/>
    <w:rsid w:val="00CB7ED6"/>
    <w:rsid w:val="00CC0074"/>
    <w:rsid w:val="00CC0168"/>
    <w:rsid w:val="00CC02A1"/>
    <w:rsid w:val="00CC03B3"/>
    <w:rsid w:val="00CC04C1"/>
    <w:rsid w:val="00CC0775"/>
    <w:rsid w:val="00CC082C"/>
    <w:rsid w:val="00CC0B9F"/>
    <w:rsid w:val="00CC0E18"/>
    <w:rsid w:val="00CC0E1A"/>
    <w:rsid w:val="00CC0F01"/>
    <w:rsid w:val="00CC12BA"/>
    <w:rsid w:val="00CC1D33"/>
    <w:rsid w:val="00CC2920"/>
    <w:rsid w:val="00CC29E6"/>
    <w:rsid w:val="00CC2C60"/>
    <w:rsid w:val="00CC2D2A"/>
    <w:rsid w:val="00CC3808"/>
    <w:rsid w:val="00CC3809"/>
    <w:rsid w:val="00CC3A13"/>
    <w:rsid w:val="00CC3A37"/>
    <w:rsid w:val="00CC429F"/>
    <w:rsid w:val="00CC43E9"/>
    <w:rsid w:val="00CC44E8"/>
    <w:rsid w:val="00CC4667"/>
    <w:rsid w:val="00CC491D"/>
    <w:rsid w:val="00CC4AE0"/>
    <w:rsid w:val="00CC4B49"/>
    <w:rsid w:val="00CC4CB1"/>
    <w:rsid w:val="00CC51D3"/>
    <w:rsid w:val="00CC5BE7"/>
    <w:rsid w:val="00CC5C65"/>
    <w:rsid w:val="00CC5DA0"/>
    <w:rsid w:val="00CC5FE1"/>
    <w:rsid w:val="00CC6D36"/>
    <w:rsid w:val="00CC7264"/>
    <w:rsid w:val="00CC73BA"/>
    <w:rsid w:val="00CC7AC3"/>
    <w:rsid w:val="00CC7B8C"/>
    <w:rsid w:val="00CD00B8"/>
    <w:rsid w:val="00CD0203"/>
    <w:rsid w:val="00CD0B77"/>
    <w:rsid w:val="00CD11C2"/>
    <w:rsid w:val="00CD13DA"/>
    <w:rsid w:val="00CD14A5"/>
    <w:rsid w:val="00CD184C"/>
    <w:rsid w:val="00CD1CBC"/>
    <w:rsid w:val="00CD1E14"/>
    <w:rsid w:val="00CD209A"/>
    <w:rsid w:val="00CD213A"/>
    <w:rsid w:val="00CD23BD"/>
    <w:rsid w:val="00CD2645"/>
    <w:rsid w:val="00CD3003"/>
    <w:rsid w:val="00CD30F9"/>
    <w:rsid w:val="00CD385F"/>
    <w:rsid w:val="00CD389E"/>
    <w:rsid w:val="00CD3AB2"/>
    <w:rsid w:val="00CD405D"/>
    <w:rsid w:val="00CD41FB"/>
    <w:rsid w:val="00CD4586"/>
    <w:rsid w:val="00CD518F"/>
    <w:rsid w:val="00CD51D9"/>
    <w:rsid w:val="00CD5533"/>
    <w:rsid w:val="00CD5FB2"/>
    <w:rsid w:val="00CD6517"/>
    <w:rsid w:val="00CD663E"/>
    <w:rsid w:val="00CD6928"/>
    <w:rsid w:val="00CD6B3E"/>
    <w:rsid w:val="00CD6DE1"/>
    <w:rsid w:val="00CD78C3"/>
    <w:rsid w:val="00CD7C0D"/>
    <w:rsid w:val="00CD7CA4"/>
    <w:rsid w:val="00CD7DA4"/>
    <w:rsid w:val="00CD7FD7"/>
    <w:rsid w:val="00CE049F"/>
    <w:rsid w:val="00CE0B4A"/>
    <w:rsid w:val="00CE0DB9"/>
    <w:rsid w:val="00CE0E2F"/>
    <w:rsid w:val="00CE0E94"/>
    <w:rsid w:val="00CE103E"/>
    <w:rsid w:val="00CE1BB5"/>
    <w:rsid w:val="00CE1E9A"/>
    <w:rsid w:val="00CE1EDF"/>
    <w:rsid w:val="00CE29D4"/>
    <w:rsid w:val="00CE37BE"/>
    <w:rsid w:val="00CE38EF"/>
    <w:rsid w:val="00CE3B5D"/>
    <w:rsid w:val="00CE3E30"/>
    <w:rsid w:val="00CE44B1"/>
    <w:rsid w:val="00CE498A"/>
    <w:rsid w:val="00CE524F"/>
    <w:rsid w:val="00CE58E6"/>
    <w:rsid w:val="00CE5A34"/>
    <w:rsid w:val="00CE5D63"/>
    <w:rsid w:val="00CE60D3"/>
    <w:rsid w:val="00CE6815"/>
    <w:rsid w:val="00CE7086"/>
    <w:rsid w:val="00CE70F4"/>
    <w:rsid w:val="00CE7746"/>
    <w:rsid w:val="00CE77ED"/>
    <w:rsid w:val="00CE7820"/>
    <w:rsid w:val="00CE7BB8"/>
    <w:rsid w:val="00CF064F"/>
    <w:rsid w:val="00CF081B"/>
    <w:rsid w:val="00CF0826"/>
    <w:rsid w:val="00CF0A24"/>
    <w:rsid w:val="00CF0D26"/>
    <w:rsid w:val="00CF0E03"/>
    <w:rsid w:val="00CF0F2B"/>
    <w:rsid w:val="00CF11EE"/>
    <w:rsid w:val="00CF1334"/>
    <w:rsid w:val="00CF135D"/>
    <w:rsid w:val="00CF13EA"/>
    <w:rsid w:val="00CF154E"/>
    <w:rsid w:val="00CF18F4"/>
    <w:rsid w:val="00CF1D83"/>
    <w:rsid w:val="00CF1DF4"/>
    <w:rsid w:val="00CF2092"/>
    <w:rsid w:val="00CF216D"/>
    <w:rsid w:val="00CF2413"/>
    <w:rsid w:val="00CF2420"/>
    <w:rsid w:val="00CF2677"/>
    <w:rsid w:val="00CF26DC"/>
    <w:rsid w:val="00CF297B"/>
    <w:rsid w:val="00CF2BBD"/>
    <w:rsid w:val="00CF2CEF"/>
    <w:rsid w:val="00CF2FDE"/>
    <w:rsid w:val="00CF3382"/>
    <w:rsid w:val="00CF3460"/>
    <w:rsid w:val="00CF42B3"/>
    <w:rsid w:val="00CF4A4F"/>
    <w:rsid w:val="00CF50E3"/>
    <w:rsid w:val="00CF54E2"/>
    <w:rsid w:val="00CF5782"/>
    <w:rsid w:val="00CF5B72"/>
    <w:rsid w:val="00CF5F82"/>
    <w:rsid w:val="00CF5FEA"/>
    <w:rsid w:val="00CF6059"/>
    <w:rsid w:val="00CF62BA"/>
    <w:rsid w:val="00CF636B"/>
    <w:rsid w:val="00CF650D"/>
    <w:rsid w:val="00CF6AAE"/>
    <w:rsid w:val="00CF6D10"/>
    <w:rsid w:val="00CF6FAD"/>
    <w:rsid w:val="00CF7028"/>
    <w:rsid w:val="00CF70D0"/>
    <w:rsid w:val="00CF723B"/>
    <w:rsid w:val="00CF777E"/>
    <w:rsid w:val="00CF7A15"/>
    <w:rsid w:val="00CF7A30"/>
    <w:rsid w:val="00CF7B61"/>
    <w:rsid w:val="00CF7C58"/>
    <w:rsid w:val="00CF7D6D"/>
    <w:rsid w:val="00D001B7"/>
    <w:rsid w:val="00D0037F"/>
    <w:rsid w:val="00D00A10"/>
    <w:rsid w:val="00D00C5F"/>
    <w:rsid w:val="00D01A24"/>
    <w:rsid w:val="00D01FD0"/>
    <w:rsid w:val="00D02634"/>
    <w:rsid w:val="00D028F5"/>
    <w:rsid w:val="00D02B7E"/>
    <w:rsid w:val="00D02CB7"/>
    <w:rsid w:val="00D0342E"/>
    <w:rsid w:val="00D03A7A"/>
    <w:rsid w:val="00D03C09"/>
    <w:rsid w:val="00D03C31"/>
    <w:rsid w:val="00D03E7E"/>
    <w:rsid w:val="00D03EF0"/>
    <w:rsid w:val="00D04661"/>
    <w:rsid w:val="00D0475B"/>
    <w:rsid w:val="00D04795"/>
    <w:rsid w:val="00D047F3"/>
    <w:rsid w:val="00D048DE"/>
    <w:rsid w:val="00D04FB1"/>
    <w:rsid w:val="00D053C3"/>
    <w:rsid w:val="00D0606F"/>
    <w:rsid w:val="00D06309"/>
    <w:rsid w:val="00D06913"/>
    <w:rsid w:val="00D0716E"/>
    <w:rsid w:val="00D0780D"/>
    <w:rsid w:val="00D07937"/>
    <w:rsid w:val="00D101F7"/>
    <w:rsid w:val="00D102D0"/>
    <w:rsid w:val="00D104CD"/>
    <w:rsid w:val="00D109EC"/>
    <w:rsid w:val="00D10C59"/>
    <w:rsid w:val="00D1123D"/>
    <w:rsid w:val="00D11B9F"/>
    <w:rsid w:val="00D11EC6"/>
    <w:rsid w:val="00D120FC"/>
    <w:rsid w:val="00D12109"/>
    <w:rsid w:val="00D123C9"/>
    <w:rsid w:val="00D123E2"/>
    <w:rsid w:val="00D125DC"/>
    <w:rsid w:val="00D12660"/>
    <w:rsid w:val="00D126CA"/>
    <w:rsid w:val="00D126EE"/>
    <w:rsid w:val="00D12848"/>
    <w:rsid w:val="00D129ED"/>
    <w:rsid w:val="00D12A4B"/>
    <w:rsid w:val="00D1325B"/>
    <w:rsid w:val="00D134C8"/>
    <w:rsid w:val="00D1368B"/>
    <w:rsid w:val="00D1393F"/>
    <w:rsid w:val="00D13C1F"/>
    <w:rsid w:val="00D13C39"/>
    <w:rsid w:val="00D13E5B"/>
    <w:rsid w:val="00D14352"/>
    <w:rsid w:val="00D14770"/>
    <w:rsid w:val="00D14CF5"/>
    <w:rsid w:val="00D15365"/>
    <w:rsid w:val="00D157A1"/>
    <w:rsid w:val="00D15880"/>
    <w:rsid w:val="00D16101"/>
    <w:rsid w:val="00D16395"/>
    <w:rsid w:val="00D16806"/>
    <w:rsid w:val="00D16B4E"/>
    <w:rsid w:val="00D16F2F"/>
    <w:rsid w:val="00D17231"/>
    <w:rsid w:val="00D1723E"/>
    <w:rsid w:val="00D175F8"/>
    <w:rsid w:val="00D17B99"/>
    <w:rsid w:val="00D17FE2"/>
    <w:rsid w:val="00D204EA"/>
    <w:rsid w:val="00D208F8"/>
    <w:rsid w:val="00D20D75"/>
    <w:rsid w:val="00D211FA"/>
    <w:rsid w:val="00D21909"/>
    <w:rsid w:val="00D21A20"/>
    <w:rsid w:val="00D21B57"/>
    <w:rsid w:val="00D21DD1"/>
    <w:rsid w:val="00D2214A"/>
    <w:rsid w:val="00D2247B"/>
    <w:rsid w:val="00D231B9"/>
    <w:rsid w:val="00D233DC"/>
    <w:rsid w:val="00D236C2"/>
    <w:rsid w:val="00D239A0"/>
    <w:rsid w:val="00D2409F"/>
    <w:rsid w:val="00D24331"/>
    <w:rsid w:val="00D2494E"/>
    <w:rsid w:val="00D24F00"/>
    <w:rsid w:val="00D24F2F"/>
    <w:rsid w:val="00D24F5B"/>
    <w:rsid w:val="00D2535F"/>
    <w:rsid w:val="00D2563F"/>
    <w:rsid w:val="00D2568C"/>
    <w:rsid w:val="00D258FB"/>
    <w:rsid w:val="00D260B5"/>
    <w:rsid w:val="00D2621D"/>
    <w:rsid w:val="00D26269"/>
    <w:rsid w:val="00D26D92"/>
    <w:rsid w:val="00D2763B"/>
    <w:rsid w:val="00D27F37"/>
    <w:rsid w:val="00D300AA"/>
    <w:rsid w:val="00D3027F"/>
    <w:rsid w:val="00D30330"/>
    <w:rsid w:val="00D30483"/>
    <w:rsid w:val="00D307A5"/>
    <w:rsid w:val="00D30A34"/>
    <w:rsid w:val="00D30E93"/>
    <w:rsid w:val="00D310C4"/>
    <w:rsid w:val="00D316C2"/>
    <w:rsid w:val="00D319FE"/>
    <w:rsid w:val="00D31D50"/>
    <w:rsid w:val="00D320CC"/>
    <w:rsid w:val="00D32697"/>
    <w:rsid w:val="00D32E56"/>
    <w:rsid w:val="00D336E1"/>
    <w:rsid w:val="00D3373D"/>
    <w:rsid w:val="00D33768"/>
    <w:rsid w:val="00D33B33"/>
    <w:rsid w:val="00D33EBF"/>
    <w:rsid w:val="00D34066"/>
    <w:rsid w:val="00D34102"/>
    <w:rsid w:val="00D34F3C"/>
    <w:rsid w:val="00D35262"/>
    <w:rsid w:val="00D35930"/>
    <w:rsid w:val="00D359F0"/>
    <w:rsid w:val="00D35CA6"/>
    <w:rsid w:val="00D36028"/>
    <w:rsid w:val="00D360ED"/>
    <w:rsid w:val="00D3689E"/>
    <w:rsid w:val="00D369B0"/>
    <w:rsid w:val="00D36D2B"/>
    <w:rsid w:val="00D371B2"/>
    <w:rsid w:val="00D374E1"/>
    <w:rsid w:val="00D377BB"/>
    <w:rsid w:val="00D3786E"/>
    <w:rsid w:val="00D37912"/>
    <w:rsid w:val="00D37A3D"/>
    <w:rsid w:val="00D37D10"/>
    <w:rsid w:val="00D37D2A"/>
    <w:rsid w:val="00D37EFA"/>
    <w:rsid w:val="00D37EFB"/>
    <w:rsid w:val="00D412BC"/>
    <w:rsid w:val="00D413B3"/>
    <w:rsid w:val="00D41C50"/>
    <w:rsid w:val="00D41F11"/>
    <w:rsid w:val="00D42699"/>
    <w:rsid w:val="00D42922"/>
    <w:rsid w:val="00D42BB2"/>
    <w:rsid w:val="00D42C67"/>
    <w:rsid w:val="00D42D20"/>
    <w:rsid w:val="00D4307E"/>
    <w:rsid w:val="00D43407"/>
    <w:rsid w:val="00D43442"/>
    <w:rsid w:val="00D435BB"/>
    <w:rsid w:val="00D43613"/>
    <w:rsid w:val="00D4382C"/>
    <w:rsid w:val="00D43831"/>
    <w:rsid w:val="00D44391"/>
    <w:rsid w:val="00D4522D"/>
    <w:rsid w:val="00D4538C"/>
    <w:rsid w:val="00D45BDE"/>
    <w:rsid w:val="00D46064"/>
    <w:rsid w:val="00D466DD"/>
    <w:rsid w:val="00D4675F"/>
    <w:rsid w:val="00D46A8F"/>
    <w:rsid w:val="00D46B6F"/>
    <w:rsid w:val="00D46C29"/>
    <w:rsid w:val="00D475BC"/>
    <w:rsid w:val="00D47B35"/>
    <w:rsid w:val="00D47F1F"/>
    <w:rsid w:val="00D50037"/>
    <w:rsid w:val="00D5130D"/>
    <w:rsid w:val="00D513D2"/>
    <w:rsid w:val="00D51974"/>
    <w:rsid w:val="00D51B6E"/>
    <w:rsid w:val="00D51E47"/>
    <w:rsid w:val="00D523DE"/>
    <w:rsid w:val="00D525DE"/>
    <w:rsid w:val="00D527CE"/>
    <w:rsid w:val="00D52A21"/>
    <w:rsid w:val="00D52E3A"/>
    <w:rsid w:val="00D5317C"/>
    <w:rsid w:val="00D5338C"/>
    <w:rsid w:val="00D53CA1"/>
    <w:rsid w:val="00D53D3E"/>
    <w:rsid w:val="00D53E6C"/>
    <w:rsid w:val="00D53F11"/>
    <w:rsid w:val="00D54030"/>
    <w:rsid w:val="00D5406C"/>
    <w:rsid w:val="00D540E0"/>
    <w:rsid w:val="00D5443E"/>
    <w:rsid w:val="00D54634"/>
    <w:rsid w:val="00D546FA"/>
    <w:rsid w:val="00D547B7"/>
    <w:rsid w:val="00D54A93"/>
    <w:rsid w:val="00D54B2E"/>
    <w:rsid w:val="00D54EA4"/>
    <w:rsid w:val="00D55103"/>
    <w:rsid w:val="00D554C3"/>
    <w:rsid w:val="00D5563A"/>
    <w:rsid w:val="00D55B24"/>
    <w:rsid w:val="00D55D63"/>
    <w:rsid w:val="00D5622E"/>
    <w:rsid w:val="00D569DC"/>
    <w:rsid w:val="00D56C91"/>
    <w:rsid w:val="00D56EC5"/>
    <w:rsid w:val="00D57182"/>
    <w:rsid w:val="00D57B84"/>
    <w:rsid w:val="00D604C8"/>
    <w:rsid w:val="00D604EB"/>
    <w:rsid w:val="00D60751"/>
    <w:rsid w:val="00D60A59"/>
    <w:rsid w:val="00D611DA"/>
    <w:rsid w:val="00D61216"/>
    <w:rsid w:val="00D61869"/>
    <w:rsid w:val="00D627ED"/>
    <w:rsid w:val="00D62B4F"/>
    <w:rsid w:val="00D62EA2"/>
    <w:rsid w:val="00D62EEF"/>
    <w:rsid w:val="00D62F4F"/>
    <w:rsid w:val="00D62F60"/>
    <w:rsid w:val="00D62FC2"/>
    <w:rsid w:val="00D635CE"/>
    <w:rsid w:val="00D63B1A"/>
    <w:rsid w:val="00D64583"/>
    <w:rsid w:val="00D645F0"/>
    <w:rsid w:val="00D64A6B"/>
    <w:rsid w:val="00D64DBC"/>
    <w:rsid w:val="00D64DE7"/>
    <w:rsid w:val="00D6530F"/>
    <w:rsid w:val="00D65684"/>
    <w:rsid w:val="00D65789"/>
    <w:rsid w:val="00D657B1"/>
    <w:rsid w:val="00D65EC5"/>
    <w:rsid w:val="00D661FF"/>
    <w:rsid w:val="00D66679"/>
    <w:rsid w:val="00D667FA"/>
    <w:rsid w:val="00D66BAC"/>
    <w:rsid w:val="00D67058"/>
    <w:rsid w:val="00D670E8"/>
    <w:rsid w:val="00D6710D"/>
    <w:rsid w:val="00D6769F"/>
    <w:rsid w:val="00D67BC6"/>
    <w:rsid w:val="00D702CF"/>
    <w:rsid w:val="00D703E4"/>
    <w:rsid w:val="00D7059C"/>
    <w:rsid w:val="00D70F17"/>
    <w:rsid w:val="00D72308"/>
    <w:rsid w:val="00D72CC7"/>
    <w:rsid w:val="00D733FD"/>
    <w:rsid w:val="00D73715"/>
    <w:rsid w:val="00D738CF"/>
    <w:rsid w:val="00D73EE7"/>
    <w:rsid w:val="00D74028"/>
    <w:rsid w:val="00D744B8"/>
    <w:rsid w:val="00D745CB"/>
    <w:rsid w:val="00D74E30"/>
    <w:rsid w:val="00D7528C"/>
    <w:rsid w:val="00D752B8"/>
    <w:rsid w:val="00D75D9E"/>
    <w:rsid w:val="00D76184"/>
    <w:rsid w:val="00D762B2"/>
    <w:rsid w:val="00D76386"/>
    <w:rsid w:val="00D76758"/>
    <w:rsid w:val="00D76B01"/>
    <w:rsid w:val="00D76E87"/>
    <w:rsid w:val="00D770D5"/>
    <w:rsid w:val="00D77910"/>
    <w:rsid w:val="00D77B46"/>
    <w:rsid w:val="00D77CAF"/>
    <w:rsid w:val="00D8019D"/>
    <w:rsid w:val="00D806B1"/>
    <w:rsid w:val="00D80753"/>
    <w:rsid w:val="00D80FBE"/>
    <w:rsid w:val="00D8116A"/>
    <w:rsid w:val="00D81782"/>
    <w:rsid w:val="00D81941"/>
    <w:rsid w:val="00D81B98"/>
    <w:rsid w:val="00D81CD1"/>
    <w:rsid w:val="00D82038"/>
    <w:rsid w:val="00D82070"/>
    <w:rsid w:val="00D820E4"/>
    <w:rsid w:val="00D824D3"/>
    <w:rsid w:val="00D82875"/>
    <w:rsid w:val="00D82A56"/>
    <w:rsid w:val="00D833ED"/>
    <w:rsid w:val="00D833F5"/>
    <w:rsid w:val="00D83BD4"/>
    <w:rsid w:val="00D83C58"/>
    <w:rsid w:val="00D83EFD"/>
    <w:rsid w:val="00D8419B"/>
    <w:rsid w:val="00D843E6"/>
    <w:rsid w:val="00D843FF"/>
    <w:rsid w:val="00D845DE"/>
    <w:rsid w:val="00D8465F"/>
    <w:rsid w:val="00D84FBC"/>
    <w:rsid w:val="00D8526B"/>
    <w:rsid w:val="00D854AB"/>
    <w:rsid w:val="00D85541"/>
    <w:rsid w:val="00D8605E"/>
    <w:rsid w:val="00D8608C"/>
    <w:rsid w:val="00D86174"/>
    <w:rsid w:val="00D8722A"/>
    <w:rsid w:val="00D872A3"/>
    <w:rsid w:val="00D878E2"/>
    <w:rsid w:val="00D87D1C"/>
    <w:rsid w:val="00D9061B"/>
    <w:rsid w:val="00D909DB"/>
    <w:rsid w:val="00D90FDA"/>
    <w:rsid w:val="00D9109C"/>
    <w:rsid w:val="00D9154F"/>
    <w:rsid w:val="00D91A08"/>
    <w:rsid w:val="00D91AEA"/>
    <w:rsid w:val="00D9202D"/>
    <w:rsid w:val="00D92363"/>
    <w:rsid w:val="00D92523"/>
    <w:rsid w:val="00D92A7D"/>
    <w:rsid w:val="00D92B12"/>
    <w:rsid w:val="00D92CA1"/>
    <w:rsid w:val="00D93677"/>
    <w:rsid w:val="00D93769"/>
    <w:rsid w:val="00D939A0"/>
    <w:rsid w:val="00D93D4A"/>
    <w:rsid w:val="00D9467D"/>
    <w:rsid w:val="00D946E4"/>
    <w:rsid w:val="00D94A73"/>
    <w:rsid w:val="00D94DAB"/>
    <w:rsid w:val="00D94E33"/>
    <w:rsid w:val="00D94F98"/>
    <w:rsid w:val="00D951EA"/>
    <w:rsid w:val="00D95210"/>
    <w:rsid w:val="00D957D8"/>
    <w:rsid w:val="00D9592A"/>
    <w:rsid w:val="00D95D8F"/>
    <w:rsid w:val="00D96252"/>
    <w:rsid w:val="00D962D0"/>
    <w:rsid w:val="00D96A4D"/>
    <w:rsid w:val="00D96AB3"/>
    <w:rsid w:val="00D96B61"/>
    <w:rsid w:val="00D973A9"/>
    <w:rsid w:val="00D975BB"/>
    <w:rsid w:val="00D97A60"/>
    <w:rsid w:val="00D97BB5"/>
    <w:rsid w:val="00D97EC0"/>
    <w:rsid w:val="00DA0247"/>
    <w:rsid w:val="00DA0872"/>
    <w:rsid w:val="00DA0A84"/>
    <w:rsid w:val="00DA0EAE"/>
    <w:rsid w:val="00DA0EB8"/>
    <w:rsid w:val="00DA12F7"/>
    <w:rsid w:val="00DA1447"/>
    <w:rsid w:val="00DA208E"/>
    <w:rsid w:val="00DA23E1"/>
    <w:rsid w:val="00DA25A6"/>
    <w:rsid w:val="00DA2B0B"/>
    <w:rsid w:val="00DA2B18"/>
    <w:rsid w:val="00DA2EF6"/>
    <w:rsid w:val="00DA354E"/>
    <w:rsid w:val="00DA3774"/>
    <w:rsid w:val="00DA463E"/>
    <w:rsid w:val="00DA4756"/>
    <w:rsid w:val="00DA48B9"/>
    <w:rsid w:val="00DA4FB8"/>
    <w:rsid w:val="00DA5405"/>
    <w:rsid w:val="00DA5560"/>
    <w:rsid w:val="00DA57CC"/>
    <w:rsid w:val="00DA58C9"/>
    <w:rsid w:val="00DA5A66"/>
    <w:rsid w:val="00DA604B"/>
    <w:rsid w:val="00DA690A"/>
    <w:rsid w:val="00DA6B39"/>
    <w:rsid w:val="00DA6BD9"/>
    <w:rsid w:val="00DA7254"/>
    <w:rsid w:val="00DA727A"/>
    <w:rsid w:val="00DA7A1B"/>
    <w:rsid w:val="00DA7E21"/>
    <w:rsid w:val="00DA7E52"/>
    <w:rsid w:val="00DA7F4D"/>
    <w:rsid w:val="00DB0309"/>
    <w:rsid w:val="00DB074B"/>
    <w:rsid w:val="00DB08FA"/>
    <w:rsid w:val="00DB0C45"/>
    <w:rsid w:val="00DB16FB"/>
    <w:rsid w:val="00DB174B"/>
    <w:rsid w:val="00DB17F7"/>
    <w:rsid w:val="00DB1D4D"/>
    <w:rsid w:val="00DB2131"/>
    <w:rsid w:val="00DB25B6"/>
    <w:rsid w:val="00DB2C3A"/>
    <w:rsid w:val="00DB2C4B"/>
    <w:rsid w:val="00DB2D28"/>
    <w:rsid w:val="00DB2E71"/>
    <w:rsid w:val="00DB2E97"/>
    <w:rsid w:val="00DB2F4B"/>
    <w:rsid w:val="00DB34B0"/>
    <w:rsid w:val="00DB3C1E"/>
    <w:rsid w:val="00DB3C92"/>
    <w:rsid w:val="00DB3E6B"/>
    <w:rsid w:val="00DB3FD3"/>
    <w:rsid w:val="00DB40BB"/>
    <w:rsid w:val="00DB46DF"/>
    <w:rsid w:val="00DB4C33"/>
    <w:rsid w:val="00DB5401"/>
    <w:rsid w:val="00DB56AB"/>
    <w:rsid w:val="00DB5A19"/>
    <w:rsid w:val="00DB5AB9"/>
    <w:rsid w:val="00DB5ADC"/>
    <w:rsid w:val="00DB5C74"/>
    <w:rsid w:val="00DB5D67"/>
    <w:rsid w:val="00DB612F"/>
    <w:rsid w:val="00DB6163"/>
    <w:rsid w:val="00DB63F4"/>
    <w:rsid w:val="00DB69DD"/>
    <w:rsid w:val="00DB6AE0"/>
    <w:rsid w:val="00DB714D"/>
    <w:rsid w:val="00DB7FCB"/>
    <w:rsid w:val="00DC03C7"/>
    <w:rsid w:val="00DC09B9"/>
    <w:rsid w:val="00DC1574"/>
    <w:rsid w:val="00DC20DC"/>
    <w:rsid w:val="00DC230E"/>
    <w:rsid w:val="00DC246E"/>
    <w:rsid w:val="00DC27C1"/>
    <w:rsid w:val="00DC2D39"/>
    <w:rsid w:val="00DC2ED6"/>
    <w:rsid w:val="00DC2F73"/>
    <w:rsid w:val="00DC2FD6"/>
    <w:rsid w:val="00DC34AE"/>
    <w:rsid w:val="00DC3A30"/>
    <w:rsid w:val="00DC3B2E"/>
    <w:rsid w:val="00DC405E"/>
    <w:rsid w:val="00DC4158"/>
    <w:rsid w:val="00DC426B"/>
    <w:rsid w:val="00DC56F7"/>
    <w:rsid w:val="00DC5D47"/>
    <w:rsid w:val="00DC604B"/>
    <w:rsid w:val="00DC61EE"/>
    <w:rsid w:val="00DC626B"/>
    <w:rsid w:val="00DC6336"/>
    <w:rsid w:val="00DC6A01"/>
    <w:rsid w:val="00DC73D3"/>
    <w:rsid w:val="00DC77B7"/>
    <w:rsid w:val="00DC7A01"/>
    <w:rsid w:val="00DC7D16"/>
    <w:rsid w:val="00DC7FC0"/>
    <w:rsid w:val="00DD0945"/>
    <w:rsid w:val="00DD10DD"/>
    <w:rsid w:val="00DD166D"/>
    <w:rsid w:val="00DD184B"/>
    <w:rsid w:val="00DD1FDB"/>
    <w:rsid w:val="00DD2058"/>
    <w:rsid w:val="00DD2770"/>
    <w:rsid w:val="00DD2A1F"/>
    <w:rsid w:val="00DD2F05"/>
    <w:rsid w:val="00DD2F30"/>
    <w:rsid w:val="00DD3059"/>
    <w:rsid w:val="00DD3901"/>
    <w:rsid w:val="00DD39D4"/>
    <w:rsid w:val="00DD3ABD"/>
    <w:rsid w:val="00DD3BF2"/>
    <w:rsid w:val="00DD3C87"/>
    <w:rsid w:val="00DD4057"/>
    <w:rsid w:val="00DD41D6"/>
    <w:rsid w:val="00DD4D3A"/>
    <w:rsid w:val="00DD4E98"/>
    <w:rsid w:val="00DD50DD"/>
    <w:rsid w:val="00DD51C0"/>
    <w:rsid w:val="00DD5233"/>
    <w:rsid w:val="00DD5684"/>
    <w:rsid w:val="00DD5BB6"/>
    <w:rsid w:val="00DD61F7"/>
    <w:rsid w:val="00DD6C1A"/>
    <w:rsid w:val="00DD6F7A"/>
    <w:rsid w:val="00DD76D0"/>
    <w:rsid w:val="00DD79B8"/>
    <w:rsid w:val="00DD79FA"/>
    <w:rsid w:val="00DD7A8A"/>
    <w:rsid w:val="00DD7B01"/>
    <w:rsid w:val="00DD7F28"/>
    <w:rsid w:val="00DE00D2"/>
    <w:rsid w:val="00DE025B"/>
    <w:rsid w:val="00DE0D44"/>
    <w:rsid w:val="00DE0FDA"/>
    <w:rsid w:val="00DE12AB"/>
    <w:rsid w:val="00DE1885"/>
    <w:rsid w:val="00DE1CD9"/>
    <w:rsid w:val="00DE2317"/>
    <w:rsid w:val="00DE26EF"/>
    <w:rsid w:val="00DE2806"/>
    <w:rsid w:val="00DE2B16"/>
    <w:rsid w:val="00DE331A"/>
    <w:rsid w:val="00DE3540"/>
    <w:rsid w:val="00DE407C"/>
    <w:rsid w:val="00DE4264"/>
    <w:rsid w:val="00DE4353"/>
    <w:rsid w:val="00DE43FE"/>
    <w:rsid w:val="00DE4EC9"/>
    <w:rsid w:val="00DE4FB6"/>
    <w:rsid w:val="00DE5365"/>
    <w:rsid w:val="00DE5528"/>
    <w:rsid w:val="00DE59E5"/>
    <w:rsid w:val="00DE5E17"/>
    <w:rsid w:val="00DE60A9"/>
    <w:rsid w:val="00DE6358"/>
    <w:rsid w:val="00DE69C7"/>
    <w:rsid w:val="00DE7058"/>
    <w:rsid w:val="00DE71CC"/>
    <w:rsid w:val="00DE761C"/>
    <w:rsid w:val="00DE786C"/>
    <w:rsid w:val="00DE7E1B"/>
    <w:rsid w:val="00DF0631"/>
    <w:rsid w:val="00DF0C95"/>
    <w:rsid w:val="00DF0D9F"/>
    <w:rsid w:val="00DF0E40"/>
    <w:rsid w:val="00DF0F4C"/>
    <w:rsid w:val="00DF1060"/>
    <w:rsid w:val="00DF1A24"/>
    <w:rsid w:val="00DF2044"/>
    <w:rsid w:val="00DF205D"/>
    <w:rsid w:val="00DF27A6"/>
    <w:rsid w:val="00DF2928"/>
    <w:rsid w:val="00DF2E3F"/>
    <w:rsid w:val="00DF3925"/>
    <w:rsid w:val="00DF3944"/>
    <w:rsid w:val="00DF3B8D"/>
    <w:rsid w:val="00DF426F"/>
    <w:rsid w:val="00DF42A5"/>
    <w:rsid w:val="00DF42A6"/>
    <w:rsid w:val="00DF42AE"/>
    <w:rsid w:val="00DF446F"/>
    <w:rsid w:val="00DF46E9"/>
    <w:rsid w:val="00DF4703"/>
    <w:rsid w:val="00DF4814"/>
    <w:rsid w:val="00DF4ABA"/>
    <w:rsid w:val="00DF53B5"/>
    <w:rsid w:val="00DF550F"/>
    <w:rsid w:val="00DF5546"/>
    <w:rsid w:val="00DF5910"/>
    <w:rsid w:val="00DF6236"/>
    <w:rsid w:val="00DF62F4"/>
    <w:rsid w:val="00DF6B1B"/>
    <w:rsid w:val="00DF73B5"/>
    <w:rsid w:val="00DF7583"/>
    <w:rsid w:val="00DF75F7"/>
    <w:rsid w:val="00DF7627"/>
    <w:rsid w:val="00DF793E"/>
    <w:rsid w:val="00DF79A5"/>
    <w:rsid w:val="00DF7CF4"/>
    <w:rsid w:val="00DF7E00"/>
    <w:rsid w:val="00E00272"/>
    <w:rsid w:val="00E00276"/>
    <w:rsid w:val="00E00B1C"/>
    <w:rsid w:val="00E00F75"/>
    <w:rsid w:val="00E023E2"/>
    <w:rsid w:val="00E028BF"/>
    <w:rsid w:val="00E02B7B"/>
    <w:rsid w:val="00E03379"/>
    <w:rsid w:val="00E034FF"/>
    <w:rsid w:val="00E03671"/>
    <w:rsid w:val="00E03A11"/>
    <w:rsid w:val="00E03C46"/>
    <w:rsid w:val="00E03C63"/>
    <w:rsid w:val="00E043F9"/>
    <w:rsid w:val="00E045AF"/>
    <w:rsid w:val="00E049C4"/>
    <w:rsid w:val="00E05210"/>
    <w:rsid w:val="00E05511"/>
    <w:rsid w:val="00E0559A"/>
    <w:rsid w:val="00E05700"/>
    <w:rsid w:val="00E05A64"/>
    <w:rsid w:val="00E05B6D"/>
    <w:rsid w:val="00E05C88"/>
    <w:rsid w:val="00E06180"/>
    <w:rsid w:val="00E06588"/>
    <w:rsid w:val="00E06843"/>
    <w:rsid w:val="00E069FB"/>
    <w:rsid w:val="00E06E4E"/>
    <w:rsid w:val="00E070F6"/>
    <w:rsid w:val="00E07348"/>
    <w:rsid w:val="00E07663"/>
    <w:rsid w:val="00E07913"/>
    <w:rsid w:val="00E105C2"/>
    <w:rsid w:val="00E10621"/>
    <w:rsid w:val="00E10792"/>
    <w:rsid w:val="00E10BA0"/>
    <w:rsid w:val="00E10BE6"/>
    <w:rsid w:val="00E111DF"/>
    <w:rsid w:val="00E113F7"/>
    <w:rsid w:val="00E11BAD"/>
    <w:rsid w:val="00E11C99"/>
    <w:rsid w:val="00E11FC9"/>
    <w:rsid w:val="00E12259"/>
    <w:rsid w:val="00E12286"/>
    <w:rsid w:val="00E12352"/>
    <w:rsid w:val="00E1281E"/>
    <w:rsid w:val="00E128AD"/>
    <w:rsid w:val="00E12E09"/>
    <w:rsid w:val="00E1330B"/>
    <w:rsid w:val="00E134CF"/>
    <w:rsid w:val="00E1377E"/>
    <w:rsid w:val="00E13B09"/>
    <w:rsid w:val="00E13C10"/>
    <w:rsid w:val="00E13ECF"/>
    <w:rsid w:val="00E145CF"/>
    <w:rsid w:val="00E146E5"/>
    <w:rsid w:val="00E15A82"/>
    <w:rsid w:val="00E16C79"/>
    <w:rsid w:val="00E171A7"/>
    <w:rsid w:val="00E17366"/>
    <w:rsid w:val="00E175D4"/>
    <w:rsid w:val="00E17A35"/>
    <w:rsid w:val="00E201B9"/>
    <w:rsid w:val="00E203E7"/>
    <w:rsid w:val="00E204DF"/>
    <w:rsid w:val="00E205FE"/>
    <w:rsid w:val="00E20772"/>
    <w:rsid w:val="00E20912"/>
    <w:rsid w:val="00E20A90"/>
    <w:rsid w:val="00E20CF8"/>
    <w:rsid w:val="00E21670"/>
    <w:rsid w:val="00E21853"/>
    <w:rsid w:val="00E21E93"/>
    <w:rsid w:val="00E22297"/>
    <w:rsid w:val="00E22401"/>
    <w:rsid w:val="00E22598"/>
    <w:rsid w:val="00E229BB"/>
    <w:rsid w:val="00E22B42"/>
    <w:rsid w:val="00E22B82"/>
    <w:rsid w:val="00E230C2"/>
    <w:rsid w:val="00E2355D"/>
    <w:rsid w:val="00E23991"/>
    <w:rsid w:val="00E23ACE"/>
    <w:rsid w:val="00E23B6A"/>
    <w:rsid w:val="00E23CC9"/>
    <w:rsid w:val="00E23D67"/>
    <w:rsid w:val="00E240C9"/>
    <w:rsid w:val="00E24CA6"/>
    <w:rsid w:val="00E24D6F"/>
    <w:rsid w:val="00E24F63"/>
    <w:rsid w:val="00E2550E"/>
    <w:rsid w:val="00E2569D"/>
    <w:rsid w:val="00E256D0"/>
    <w:rsid w:val="00E25B3F"/>
    <w:rsid w:val="00E2690C"/>
    <w:rsid w:val="00E26941"/>
    <w:rsid w:val="00E270F0"/>
    <w:rsid w:val="00E27790"/>
    <w:rsid w:val="00E27AAD"/>
    <w:rsid w:val="00E30689"/>
    <w:rsid w:val="00E3084A"/>
    <w:rsid w:val="00E308C3"/>
    <w:rsid w:val="00E30E2D"/>
    <w:rsid w:val="00E318B7"/>
    <w:rsid w:val="00E31B13"/>
    <w:rsid w:val="00E31B91"/>
    <w:rsid w:val="00E324AC"/>
    <w:rsid w:val="00E33657"/>
    <w:rsid w:val="00E34326"/>
    <w:rsid w:val="00E349EF"/>
    <w:rsid w:val="00E34A15"/>
    <w:rsid w:val="00E35057"/>
    <w:rsid w:val="00E35152"/>
    <w:rsid w:val="00E35378"/>
    <w:rsid w:val="00E35716"/>
    <w:rsid w:val="00E36096"/>
    <w:rsid w:val="00E36120"/>
    <w:rsid w:val="00E36260"/>
    <w:rsid w:val="00E36332"/>
    <w:rsid w:val="00E3659C"/>
    <w:rsid w:val="00E36AE5"/>
    <w:rsid w:val="00E36B71"/>
    <w:rsid w:val="00E36B88"/>
    <w:rsid w:val="00E372B3"/>
    <w:rsid w:val="00E37397"/>
    <w:rsid w:val="00E377A0"/>
    <w:rsid w:val="00E37F4B"/>
    <w:rsid w:val="00E4063D"/>
    <w:rsid w:val="00E40E15"/>
    <w:rsid w:val="00E410FF"/>
    <w:rsid w:val="00E41B53"/>
    <w:rsid w:val="00E42063"/>
    <w:rsid w:val="00E422C3"/>
    <w:rsid w:val="00E4257D"/>
    <w:rsid w:val="00E4277B"/>
    <w:rsid w:val="00E427BB"/>
    <w:rsid w:val="00E42818"/>
    <w:rsid w:val="00E42873"/>
    <w:rsid w:val="00E42B94"/>
    <w:rsid w:val="00E43104"/>
    <w:rsid w:val="00E4389C"/>
    <w:rsid w:val="00E43970"/>
    <w:rsid w:val="00E43A23"/>
    <w:rsid w:val="00E43ABD"/>
    <w:rsid w:val="00E442DE"/>
    <w:rsid w:val="00E444DC"/>
    <w:rsid w:val="00E44977"/>
    <w:rsid w:val="00E44DDD"/>
    <w:rsid w:val="00E4517B"/>
    <w:rsid w:val="00E45777"/>
    <w:rsid w:val="00E45C72"/>
    <w:rsid w:val="00E46367"/>
    <w:rsid w:val="00E46B24"/>
    <w:rsid w:val="00E46F3E"/>
    <w:rsid w:val="00E4742E"/>
    <w:rsid w:val="00E500BE"/>
    <w:rsid w:val="00E50195"/>
    <w:rsid w:val="00E50758"/>
    <w:rsid w:val="00E50A70"/>
    <w:rsid w:val="00E51174"/>
    <w:rsid w:val="00E51927"/>
    <w:rsid w:val="00E51D14"/>
    <w:rsid w:val="00E5242D"/>
    <w:rsid w:val="00E52634"/>
    <w:rsid w:val="00E52CBD"/>
    <w:rsid w:val="00E5300D"/>
    <w:rsid w:val="00E5429A"/>
    <w:rsid w:val="00E5473A"/>
    <w:rsid w:val="00E54AB3"/>
    <w:rsid w:val="00E5518A"/>
    <w:rsid w:val="00E55271"/>
    <w:rsid w:val="00E556DC"/>
    <w:rsid w:val="00E558A2"/>
    <w:rsid w:val="00E55A70"/>
    <w:rsid w:val="00E55B8B"/>
    <w:rsid w:val="00E55E6A"/>
    <w:rsid w:val="00E56458"/>
    <w:rsid w:val="00E56BB4"/>
    <w:rsid w:val="00E56BE1"/>
    <w:rsid w:val="00E56F3D"/>
    <w:rsid w:val="00E57073"/>
    <w:rsid w:val="00E57505"/>
    <w:rsid w:val="00E57E57"/>
    <w:rsid w:val="00E6012B"/>
    <w:rsid w:val="00E6041D"/>
    <w:rsid w:val="00E609BC"/>
    <w:rsid w:val="00E60A00"/>
    <w:rsid w:val="00E61186"/>
    <w:rsid w:val="00E614BA"/>
    <w:rsid w:val="00E62302"/>
    <w:rsid w:val="00E62BB0"/>
    <w:rsid w:val="00E62BE8"/>
    <w:rsid w:val="00E636C1"/>
    <w:rsid w:val="00E637C8"/>
    <w:rsid w:val="00E639F8"/>
    <w:rsid w:val="00E63E00"/>
    <w:rsid w:val="00E63EA8"/>
    <w:rsid w:val="00E6401C"/>
    <w:rsid w:val="00E641B3"/>
    <w:rsid w:val="00E64901"/>
    <w:rsid w:val="00E65568"/>
    <w:rsid w:val="00E6595A"/>
    <w:rsid w:val="00E65AF0"/>
    <w:rsid w:val="00E661F0"/>
    <w:rsid w:val="00E66582"/>
    <w:rsid w:val="00E66D15"/>
    <w:rsid w:val="00E671F3"/>
    <w:rsid w:val="00E672B9"/>
    <w:rsid w:val="00E673F8"/>
    <w:rsid w:val="00E674DF"/>
    <w:rsid w:val="00E67D27"/>
    <w:rsid w:val="00E67D6D"/>
    <w:rsid w:val="00E67E81"/>
    <w:rsid w:val="00E70473"/>
    <w:rsid w:val="00E704DB"/>
    <w:rsid w:val="00E70539"/>
    <w:rsid w:val="00E70756"/>
    <w:rsid w:val="00E70A08"/>
    <w:rsid w:val="00E70A34"/>
    <w:rsid w:val="00E70A42"/>
    <w:rsid w:val="00E70C96"/>
    <w:rsid w:val="00E710FD"/>
    <w:rsid w:val="00E711FF"/>
    <w:rsid w:val="00E71BAE"/>
    <w:rsid w:val="00E71C56"/>
    <w:rsid w:val="00E71D83"/>
    <w:rsid w:val="00E721F4"/>
    <w:rsid w:val="00E72236"/>
    <w:rsid w:val="00E7240B"/>
    <w:rsid w:val="00E72420"/>
    <w:rsid w:val="00E7242C"/>
    <w:rsid w:val="00E72D74"/>
    <w:rsid w:val="00E72E06"/>
    <w:rsid w:val="00E72E96"/>
    <w:rsid w:val="00E72EDB"/>
    <w:rsid w:val="00E73C32"/>
    <w:rsid w:val="00E740AD"/>
    <w:rsid w:val="00E7418E"/>
    <w:rsid w:val="00E74397"/>
    <w:rsid w:val="00E744CF"/>
    <w:rsid w:val="00E74697"/>
    <w:rsid w:val="00E74910"/>
    <w:rsid w:val="00E74A92"/>
    <w:rsid w:val="00E74E70"/>
    <w:rsid w:val="00E750D9"/>
    <w:rsid w:val="00E751A7"/>
    <w:rsid w:val="00E752F6"/>
    <w:rsid w:val="00E75463"/>
    <w:rsid w:val="00E762AB"/>
    <w:rsid w:val="00E76889"/>
    <w:rsid w:val="00E76A3E"/>
    <w:rsid w:val="00E76F67"/>
    <w:rsid w:val="00E76FD7"/>
    <w:rsid w:val="00E770EC"/>
    <w:rsid w:val="00E7759A"/>
    <w:rsid w:val="00E77AD5"/>
    <w:rsid w:val="00E77BC7"/>
    <w:rsid w:val="00E77E30"/>
    <w:rsid w:val="00E8018E"/>
    <w:rsid w:val="00E80356"/>
    <w:rsid w:val="00E80416"/>
    <w:rsid w:val="00E80557"/>
    <w:rsid w:val="00E805FC"/>
    <w:rsid w:val="00E806CB"/>
    <w:rsid w:val="00E80A18"/>
    <w:rsid w:val="00E80EB1"/>
    <w:rsid w:val="00E811E7"/>
    <w:rsid w:val="00E814EE"/>
    <w:rsid w:val="00E8173F"/>
    <w:rsid w:val="00E81CF1"/>
    <w:rsid w:val="00E82626"/>
    <w:rsid w:val="00E8270A"/>
    <w:rsid w:val="00E82EF6"/>
    <w:rsid w:val="00E82F4D"/>
    <w:rsid w:val="00E83091"/>
    <w:rsid w:val="00E830F8"/>
    <w:rsid w:val="00E831D5"/>
    <w:rsid w:val="00E833AD"/>
    <w:rsid w:val="00E834DF"/>
    <w:rsid w:val="00E8405C"/>
    <w:rsid w:val="00E841C1"/>
    <w:rsid w:val="00E846E1"/>
    <w:rsid w:val="00E8481B"/>
    <w:rsid w:val="00E84BB0"/>
    <w:rsid w:val="00E84D0F"/>
    <w:rsid w:val="00E85072"/>
    <w:rsid w:val="00E85BF6"/>
    <w:rsid w:val="00E85EC4"/>
    <w:rsid w:val="00E863D2"/>
    <w:rsid w:val="00E8643B"/>
    <w:rsid w:val="00E865C1"/>
    <w:rsid w:val="00E8699A"/>
    <w:rsid w:val="00E86F73"/>
    <w:rsid w:val="00E86FEF"/>
    <w:rsid w:val="00E873EC"/>
    <w:rsid w:val="00E87907"/>
    <w:rsid w:val="00E8795B"/>
    <w:rsid w:val="00E87DF7"/>
    <w:rsid w:val="00E9005F"/>
    <w:rsid w:val="00E904EA"/>
    <w:rsid w:val="00E90592"/>
    <w:rsid w:val="00E90640"/>
    <w:rsid w:val="00E90F17"/>
    <w:rsid w:val="00E9143E"/>
    <w:rsid w:val="00E91471"/>
    <w:rsid w:val="00E917D7"/>
    <w:rsid w:val="00E9207C"/>
    <w:rsid w:val="00E921A3"/>
    <w:rsid w:val="00E922E5"/>
    <w:rsid w:val="00E923A7"/>
    <w:rsid w:val="00E92435"/>
    <w:rsid w:val="00E92548"/>
    <w:rsid w:val="00E92697"/>
    <w:rsid w:val="00E92CC6"/>
    <w:rsid w:val="00E92DE2"/>
    <w:rsid w:val="00E9301E"/>
    <w:rsid w:val="00E938C2"/>
    <w:rsid w:val="00E93AE7"/>
    <w:rsid w:val="00E93BCC"/>
    <w:rsid w:val="00E93D85"/>
    <w:rsid w:val="00E93E41"/>
    <w:rsid w:val="00E93F0F"/>
    <w:rsid w:val="00E943F5"/>
    <w:rsid w:val="00E94FFF"/>
    <w:rsid w:val="00E9539B"/>
    <w:rsid w:val="00E953C6"/>
    <w:rsid w:val="00E9550C"/>
    <w:rsid w:val="00E9553E"/>
    <w:rsid w:val="00E95572"/>
    <w:rsid w:val="00E956A9"/>
    <w:rsid w:val="00E960CF"/>
    <w:rsid w:val="00E962DA"/>
    <w:rsid w:val="00E9667B"/>
    <w:rsid w:val="00E96756"/>
    <w:rsid w:val="00E967C1"/>
    <w:rsid w:val="00E96F7F"/>
    <w:rsid w:val="00E97655"/>
    <w:rsid w:val="00E97950"/>
    <w:rsid w:val="00E97D29"/>
    <w:rsid w:val="00EA0217"/>
    <w:rsid w:val="00EA055B"/>
    <w:rsid w:val="00EA0AA3"/>
    <w:rsid w:val="00EA105F"/>
    <w:rsid w:val="00EA1236"/>
    <w:rsid w:val="00EA1571"/>
    <w:rsid w:val="00EA15B1"/>
    <w:rsid w:val="00EA182B"/>
    <w:rsid w:val="00EA22B1"/>
    <w:rsid w:val="00EA2E12"/>
    <w:rsid w:val="00EA33DA"/>
    <w:rsid w:val="00EA3734"/>
    <w:rsid w:val="00EA3CD8"/>
    <w:rsid w:val="00EA40C0"/>
    <w:rsid w:val="00EA41DC"/>
    <w:rsid w:val="00EA46DA"/>
    <w:rsid w:val="00EA4BD2"/>
    <w:rsid w:val="00EA4E7B"/>
    <w:rsid w:val="00EA5B93"/>
    <w:rsid w:val="00EA5C5A"/>
    <w:rsid w:val="00EA5DB9"/>
    <w:rsid w:val="00EA633C"/>
    <w:rsid w:val="00EA70CF"/>
    <w:rsid w:val="00EA7A28"/>
    <w:rsid w:val="00EA7C6A"/>
    <w:rsid w:val="00EA7D6F"/>
    <w:rsid w:val="00EA7D91"/>
    <w:rsid w:val="00EB007F"/>
    <w:rsid w:val="00EB0757"/>
    <w:rsid w:val="00EB0A7F"/>
    <w:rsid w:val="00EB0ADC"/>
    <w:rsid w:val="00EB0BA3"/>
    <w:rsid w:val="00EB0E3F"/>
    <w:rsid w:val="00EB108F"/>
    <w:rsid w:val="00EB1412"/>
    <w:rsid w:val="00EB1535"/>
    <w:rsid w:val="00EB1CBB"/>
    <w:rsid w:val="00EB244A"/>
    <w:rsid w:val="00EB30FD"/>
    <w:rsid w:val="00EB33AF"/>
    <w:rsid w:val="00EB33DA"/>
    <w:rsid w:val="00EB341D"/>
    <w:rsid w:val="00EB3447"/>
    <w:rsid w:val="00EB3532"/>
    <w:rsid w:val="00EB367D"/>
    <w:rsid w:val="00EB3A1D"/>
    <w:rsid w:val="00EB3C17"/>
    <w:rsid w:val="00EB3C4D"/>
    <w:rsid w:val="00EB3EB2"/>
    <w:rsid w:val="00EB42E0"/>
    <w:rsid w:val="00EB447C"/>
    <w:rsid w:val="00EB46E9"/>
    <w:rsid w:val="00EB4D3F"/>
    <w:rsid w:val="00EB4E2A"/>
    <w:rsid w:val="00EB4F76"/>
    <w:rsid w:val="00EB50BE"/>
    <w:rsid w:val="00EB589C"/>
    <w:rsid w:val="00EB5921"/>
    <w:rsid w:val="00EB5D35"/>
    <w:rsid w:val="00EB5D88"/>
    <w:rsid w:val="00EB6051"/>
    <w:rsid w:val="00EB6109"/>
    <w:rsid w:val="00EB66AA"/>
    <w:rsid w:val="00EB67D0"/>
    <w:rsid w:val="00EB6EF6"/>
    <w:rsid w:val="00EB71E6"/>
    <w:rsid w:val="00EB759F"/>
    <w:rsid w:val="00EB76AB"/>
    <w:rsid w:val="00EB7CBE"/>
    <w:rsid w:val="00EB7F5F"/>
    <w:rsid w:val="00EC0480"/>
    <w:rsid w:val="00EC09FD"/>
    <w:rsid w:val="00EC0F05"/>
    <w:rsid w:val="00EC12C2"/>
    <w:rsid w:val="00EC12E3"/>
    <w:rsid w:val="00EC167F"/>
    <w:rsid w:val="00EC213E"/>
    <w:rsid w:val="00EC27E0"/>
    <w:rsid w:val="00EC28A9"/>
    <w:rsid w:val="00EC3124"/>
    <w:rsid w:val="00EC3198"/>
    <w:rsid w:val="00EC32F5"/>
    <w:rsid w:val="00EC3D42"/>
    <w:rsid w:val="00EC422F"/>
    <w:rsid w:val="00EC43DC"/>
    <w:rsid w:val="00EC464B"/>
    <w:rsid w:val="00EC470B"/>
    <w:rsid w:val="00EC4926"/>
    <w:rsid w:val="00EC4978"/>
    <w:rsid w:val="00EC4A2E"/>
    <w:rsid w:val="00EC4B2A"/>
    <w:rsid w:val="00EC4E4A"/>
    <w:rsid w:val="00EC5136"/>
    <w:rsid w:val="00EC5D3B"/>
    <w:rsid w:val="00EC6071"/>
    <w:rsid w:val="00EC607D"/>
    <w:rsid w:val="00EC61B0"/>
    <w:rsid w:val="00EC68AC"/>
    <w:rsid w:val="00EC7596"/>
    <w:rsid w:val="00EC7615"/>
    <w:rsid w:val="00EC76C3"/>
    <w:rsid w:val="00EC7E5B"/>
    <w:rsid w:val="00ED0FE2"/>
    <w:rsid w:val="00ED1075"/>
    <w:rsid w:val="00ED1309"/>
    <w:rsid w:val="00ED17AB"/>
    <w:rsid w:val="00ED195F"/>
    <w:rsid w:val="00ED22E2"/>
    <w:rsid w:val="00ED27F5"/>
    <w:rsid w:val="00ED27F6"/>
    <w:rsid w:val="00ED2926"/>
    <w:rsid w:val="00ED29D2"/>
    <w:rsid w:val="00ED34E2"/>
    <w:rsid w:val="00ED3632"/>
    <w:rsid w:val="00ED3827"/>
    <w:rsid w:val="00ED38F8"/>
    <w:rsid w:val="00ED3974"/>
    <w:rsid w:val="00ED4061"/>
    <w:rsid w:val="00ED430B"/>
    <w:rsid w:val="00ED4709"/>
    <w:rsid w:val="00ED4E4D"/>
    <w:rsid w:val="00ED4FEE"/>
    <w:rsid w:val="00ED5975"/>
    <w:rsid w:val="00ED5B87"/>
    <w:rsid w:val="00ED64B2"/>
    <w:rsid w:val="00ED6666"/>
    <w:rsid w:val="00ED7061"/>
    <w:rsid w:val="00ED7339"/>
    <w:rsid w:val="00ED7471"/>
    <w:rsid w:val="00ED7566"/>
    <w:rsid w:val="00ED75C2"/>
    <w:rsid w:val="00ED76A3"/>
    <w:rsid w:val="00ED7903"/>
    <w:rsid w:val="00ED7D60"/>
    <w:rsid w:val="00ED7FC1"/>
    <w:rsid w:val="00EE019D"/>
    <w:rsid w:val="00EE0450"/>
    <w:rsid w:val="00EE0CA6"/>
    <w:rsid w:val="00EE0CE1"/>
    <w:rsid w:val="00EE0DC7"/>
    <w:rsid w:val="00EE136C"/>
    <w:rsid w:val="00EE166F"/>
    <w:rsid w:val="00EE17B9"/>
    <w:rsid w:val="00EE1849"/>
    <w:rsid w:val="00EE1975"/>
    <w:rsid w:val="00EE2999"/>
    <w:rsid w:val="00EE2A67"/>
    <w:rsid w:val="00EE2CCD"/>
    <w:rsid w:val="00EE327A"/>
    <w:rsid w:val="00EE354C"/>
    <w:rsid w:val="00EE36C5"/>
    <w:rsid w:val="00EE3B74"/>
    <w:rsid w:val="00EE4621"/>
    <w:rsid w:val="00EE4981"/>
    <w:rsid w:val="00EE4B7C"/>
    <w:rsid w:val="00EE5294"/>
    <w:rsid w:val="00EE530F"/>
    <w:rsid w:val="00EE6E4B"/>
    <w:rsid w:val="00EE7C20"/>
    <w:rsid w:val="00EE7D1C"/>
    <w:rsid w:val="00EF0150"/>
    <w:rsid w:val="00EF028D"/>
    <w:rsid w:val="00EF0361"/>
    <w:rsid w:val="00EF0C69"/>
    <w:rsid w:val="00EF1362"/>
    <w:rsid w:val="00EF16D2"/>
    <w:rsid w:val="00EF1C38"/>
    <w:rsid w:val="00EF2063"/>
    <w:rsid w:val="00EF333A"/>
    <w:rsid w:val="00EF35FB"/>
    <w:rsid w:val="00EF3765"/>
    <w:rsid w:val="00EF3DBA"/>
    <w:rsid w:val="00EF3EED"/>
    <w:rsid w:val="00EF3F8F"/>
    <w:rsid w:val="00EF4A48"/>
    <w:rsid w:val="00EF4E47"/>
    <w:rsid w:val="00EF5109"/>
    <w:rsid w:val="00EF6162"/>
    <w:rsid w:val="00EF61B5"/>
    <w:rsid w:val="00EF6707"/>
    <w:rsid w:val="00EF6EA2"/>
    <w:rsid w:val="00EF6EC7"/>
    <w:rsid w:val="00EF740F"/>
    <w:rsid w:val="00EF78F5"/>
    <w:rsid w:val="00F003E2"/>
    <w:rsid w:val="00F00655"/>
    <w:rsid w:val="00F00EA6"/>
    <w:rsid w:val="00F01196"/>
    <w:rsid w:val="00F015B1"/>
    <w:rsid w:val="00F0161C"/>
    <w:rsid w:val="00F019F2"/>
    <w:rsid w:val="00F01C66"/>
    <w:rsid w:val="00F01EB2"/>
    <w:rsid w:val="00F01FBD"/>
    <w:rsid w:val="00F0263C"/>
    <w:rsid w:val="00F029ED"/>
    <w:rsid w:val="00F02C4E"/>
    <w:rsid w:val="00F03840"/>
    <w:rsid w:val="00F039FF"/>
    <w:rsid w:val="00F03B4D"/>
    <w:rsid w:val="00F041CF"/>
    <w:rsid w:val="00F04838"/>
    <w:rsid w:val="00F0496E"/>
    <w:rsid w:val="00F04DC6"/>
    <w:rsid w:val="00F0529B"/>
    <w:rsid w:val="00F0534C"/>
    <w:rsid w:val="00F05595"/>
    <w:rsid w:val="00F05CED"/>
    <w:rsid w:val="00F060EE"/>
    <w:rsid w:val="00F06CA6"/>
    <w:rsid w:val="00F06D0E"/>
    <w:rsid w:val="00F06F4B"/>
    <w:rsid w:val="00F074F3"/>
    <w:rsid w:val="00F07976"/>
    <w:rsid w:val="00F07C17"/>
    <w:rsid w:val="00F105EB"/>
    <w:rsid w:val="00F1084B"/>
    <w:rsid w:val="00F109F8"/>
    <w:rsid w:val="00F10D8C"/>
    <w:rsid w:val="00F110D2"/>
    <w:rsid w:val="00F112A0"/>
    <w:rsid w:val="00F11724"/>
    <w:rsid w:val="00F123C0"/>
    <w:rsid w:val="00F124AA"/>
    <w:rsid w:val="00F1270E"/>
    <w:rsid w:val="00F1281D"/>
    <w:rsid w:val="00F12B56"/>
    <w:rsid w:val="00F1320D"/>
    <w:rsid w:val="00F132AE"/>
    <w:rsid w:val="00F146EE"/>
    <w:rsid w:val="00F14935"/>
    <w:rsid w:val="00F14A7A"/>
    <w:rsid w:val="00F14C6A"/>
    <w:rsid w:val="00F14F5E"/>
    <w:rsid w:val="00F15312"/>
    <w:rsid w:val="00F1535D"/>
    <w:rsid w:val="00F1562F"/>
    <w:rsid w:val="00F1567D"/>
    <w:rsid w:val="00F15DC9"/>
    <w:rsid w:val="00F1607C"/>
    <w:rsid w:val="00F1688D"/>
    <w:rsid w:val="00F16A35"/>
    <w:rsid w:val="00F16F82"/>
    <w:rsid w:val="00F17180"/>
    <w:rsid w:val="00F171C3"/>
    <w:rsid w:val="00F171C4"/>
    <w:rsid w:val="00F174AC"/>
    <w:rsid w:val="00F1758C"/>
    <w:rsid w:val="00F17AC2"/>
    <w:rsid w:val="00F2051F"/>
    <w:rsid w:val="00F209E8"/>
    <w:rsid w:val="00F20AE4"/>
    <w:rsid w:val="00F20DBD"/>
    <w:rsid w:val="00F213E3"/>
    <w:rsid w:val="00F216E8"/>
    <w:rsid w:val="00F22AD3"/>
    <w:rsid w:val="00F22E92"/>
    <w:rsid w:val="00F23911"/>
    <w:rsid w:val="00F2397C"/>
    <w:rsid w:val="00F23BEA"/>
    <w:rsid w:val="00F23D63"/>
    <w:rsid w:val="00F23E42"/>
    <w:rsid w:val="00F23E4E"/>
    <w:rsid w:val="00F23F61"/>
    <w:rsid w:val="00F243E1"/>
    <w:rsid w:val="00F24753"/>
    <w:rsid w:val="00F24C94"/>
    <w:rsid w:val="00F257AC"/>
    <w:rsid w:val="00F257E6"/>
    <w:rsid w:val="00F264C8"/>
    <w:rsid w:val="00F26B04"/>
    <w:rsid w:val="00F26DE7"/>
    <w:rsid w:val="00F2767A"/>
    <w:rsid w:val="00F278E3"/>
    <w:rsid w:val="00F27987"/>
    <w:rsid w:val="00F27ABE"/>
    <w:rsid w:val="00F27DE0"/>
    <w:rsid w:val="00F300CE"/>
    <w:rsid w:val="00F3027C"/>
    <w:rsid w:val="00F30632"/>
    <w:rsid w:val="00F3066A"/>
    <w:rsid w:val="00F30832"/>
    <w:rsid w:val="00F309E5"/>
    <w:rsid w:val="00F30D8E"/>
    <w:rsid w:val="00F31213"/>
    <w:rsid w:val="00F317CA"/>
    <w:rsid w:val="00F318CE"/>
    <w:rsid w:val="00F31BCA"/>
    <w:rsid w:val="00F31E5B"/>
    <w:rsid w:val="00F32404"/>
    <w:rsid w:val="00F32750"/>
    <w:rsid w:val="00F32878"/>
    <w:rsid w:val="00F32DAD"/>
    <w:rsid w:val="00F331F7"/>
    <w:rsid w:val="00F33512"/>
    <w:rsid w:val="00F33C7D"/>
    <w:rsid w:val="00F33F2A"/>
    <w:rsid w:val="00F345CD"/>
    <w:rsid w:val="00F34642"/>
    <w:rsid w:val="00F34B35"/>
    <w:rsid w:val="00F34D32"/>
    <w:rsid w:val="00F34E41"/>
    <w:rsid w:val="00F3522B"/>
    <w:rsid w:val="00F355E5"/>
    <w:rsid w:val="00F3574F"/>
    <w:rsid w:val="00F359BA"/>
    <w:rsid w:val="00F35B16"/>
    <w:rsid w:val="00F35B19"/>
    <w:rsid w:val="00F35BA2"/>
    <w:rsid w:val="00F35FE9"/>
    <w:rsid w:val="00F360E5"/>
    <w:rsid w:val="00F36BE0"/>
    <w:rsid w:val="00F36F1B"/>
    <w:rsid w:val="00F374C0"/>
    <w:rsid w:val="00F37512"/>
    <w:rsid w:val="00F37559"/>
    <w:rsid w:val="00F3758C"/>
    <w:rsid w:val="00F37818"/>
    <w:rsid w:val="00F37931"/>
    <w:rsid w:val="00F37B2E"/>
    <w:rsid w:val="00F37C19"/>
    <w:rsid w:val="00F37C69"/>
    <w:rsid w:val="00F40087"/>
    <w:rsid w:val="00F402F3"/>
    <w:rsid w:val="00F4041D"/>
    <w:rsid w:val="00F409D0"/>
    <w:rsid w:val="00F40D0E"/>
    <w:rsid w:val="00F41991"/>
    <w:rsid w:val="00F41D52"/>
    <w:rsid w:val="00F41F90"/>
    <w:rsid w:val="00F42351"/>
    <w:rsid w:val="00F423A5"/>
    <w:rsid w:val="00F4291D"/>
    <w:rsid w:val="00F42A56"/>
    <w:rsid w:val="00F434A0"/>
    <w:rsid w:val="00F43667"/>
    <w:rsid w:val="00F43968"/>
    <w:rsid w:val="00F43AE4"/>
    <w:rsid w:val="00F43C21"/>
    <w:rsid w:val="00F43D2B"/>
    <w:rsid w:val="00F43DF1"/>
    <w:rsid w:val="00F43E1D"/>
    <w:rsid w:val="00F44256"/>
    <w:rsid w:val="00F44268"/>
    <w:rsid w:val="00F447DD"/>
    <w:rsid w:val="00F44C2A"/>
    <w:rsid w:val="00F45661"/>
    <w:rsid w:val="00F45B21"/>
    <w:rsid w:val="00F474C7"/>
    <w:rsid w:val="00F47F34"/>
    <w:rsid w:val="00F5031B"/>
    <w:rsid w:val="00F50767"/>
    <w:rsid w:val="00F507AB"/>
    <w:rsid w:val="00F508B9"/>
    <w:rsid w:val="00F50C62"/>
    <w:rsid w:val="00F51331"/>
    <w:rsid w:val="00F514FD"/>
    <w:rsid w:val="00F52085"/>
    <w:rsid w:val="00F52097"/>
    <w:rsid w:val="00F52C5A"/>
    <w:rsid w:val="00F52F65"/>
    <w:rsid w:val="00F531E5"/>
    <w:rsid w:val="00F53709"/>
    <w:rsid w:val="00F53AD3"/>
    <w:rsid w:val="00F53CA6"/>
    <w:rsid w:val="00F54080"/>
    <w:rsid w:val="00F54ECD"/>
    <w:rsid w:val="00F553A2"/>
    <w:rsid w:val="00F553AB"/>
    <w:rsid w:val="00F5544A"/>
    <w:rsid w:val="00F5549F"/>
    <w:rsid w:val="00F5594A"/>
    <w:rsid w:val="00F561C2"/>
    <w:rsid w:val="00F564AF"/>
    <w:rsid w:val="00F571B1"/>
    <w:rsid w:val="00F57CD2"/>
    <w:rsid w:val="00F57D13"/>
    <w:rsid w:val="00F604FC"/>
    <w:rsid w:val="00F61080"/>
    <w:rsid w:val="00F611CF"/>
    <w:rsid w:val="00F6131A"/>
    <w:rsid w:val="00F6163A"/>
    <w:rsid w:val="00F6169A"/>
    <w:rsid w:val="00F61A07"/>
    <w:rsid w:val="00F62624"/>
    <w:rsid w:val="00F62769"/>
    <w:rsid w:val="00F6307B"/>
    <w:rsid w:val="00F6358D"/>
    <w:rsid w:val="00F63C94"/>
    <w:rsid w:val="00F6439D"/>
    <w:rsid w:val="00F65515"/>
    <w:rsid w:val="00F65C21"/>
    <w:rsid w:val="00F665FF"/>
    <w:rsid w:val="00F666BE"/>
    <w:rsid w:val="00F666FE"/>
    <w:rsid w:val="00F66927"/>
    <w:rsid w:val="00F66B17"/>
    <w:rsid w:val="00F66E94"/>
    <w:rsid w:val="00F66EA1"/>
    <w:rsid w:val="00F6752E"/>
    <w:rsid w:val="00F67967"/>
    <w:rsid w:val="00F67A6E"/>
    <w:rsid w:val="00F67E1A"/>
    <w:rsid w:val="00F67E68"/>
    <w:rsid w:val="00F67F4E"/>
    <w:rsid w:val="00F70326"/>
    <w:rsid w:val="00F70945"/>
    <w:rsid w:val="00F70B17"/>
    <w:rsid w:val="00F70B47"/>
    <w:rsid w:val="00F70BEA"/>
    <w:rsid w:val="00F70D1D"/>
    <w:rsid w:val="00F70F5A"/>
    <w:rsid w:val="00F71753"/>
    <w:rsid w:val="00F71872"/>
    <w:rsid w:val="00F71D97"/>
    <w:rsid w:val="00F71E40"/>
    <w:rsid w:val="00F72099"/>
    <w:rsid w:val="00F72925"/>
    <w:rsid w:val="00F72CC3"/>
    <w:rsid w:val="00F72E47"/>
    <w:rsid w:val="00F7301A"/>
    <w:rsid w:val="00F73A04"/>
    <w:rsid w:val="00F73B24"/>
    <w:rsid w:val="00F73BC4"/>
    <w:rsid w:val="00F73DA6"/>
    <w:rsid w:val="00F74515"/>
    <w:rsid w:val="00F74C86"/>
    <w:rsid w:val="00F7519C"/>
    <w:rsid w:val="00F751A9"/>
    <w:rsid w:val="00F7556C"/>
    <w:rsid w:val="00F7595D"/>
    <w:rsid w:val="00F75A53"/>
    <w:rsid w:val="00F75A54"/>
    <w:rsid w:val="00F75BDD"/>
    <w:rsid w:val="00F75FF9"/>
    <w:rsid w:val="00F763FF"/>
    <w:rsid w:val="00F76419"/>
    <w:rsid w:val="00F76879"/>
    <w:rsid w:val="00F7788F"/>
    <w:rsid w:val="00F77C70"/>
    <w:rsid w:val="00F77F1C"/>
    <w:rsid w:val="00F80232"/>
    <w:rsid w:val="00F8070C"/>
    <w:rsid w:val="00F81309"/>
    <w:rsid w:val="00F81680"/>
    <w:rsid w:val="00F81F40"/>
    <w:rsid w:val="00F82040"/>
    <w:rsid w:val="00F8224E"/>
    <w:rsid w:val="00F82380"/>
    <w:rsid w:val="00F82F91"/>
    <w:rsid w:val="00F831A1"/>
    <w:rsid w:val="00F8326C"/>
    <w:rsid w:val="00F837F4"/>
    <w:rsid w:val="00F840B6"/>
    <w:rsid w:val="00F845C8"/>
    <w:rsid w:val="00F845CB"/>
    <w:rsid w:val="00F84C12"/>
    <w:rsid w:val="00F84FF2"/>
    <w:rsid w:val="00F85EF1"/>
    <w:rsid w:val="00F86024"/>
    <w:rsid w:val="00F860FB"/>
    <w:rsid w:val="00F8616D"/>
    <w:rsid w:val="00F862A2"/>
    <w:rsid w:val="00F86F2E"/>
    <w:rsid w:val="00F8707C"/>
    <w:rsid w:val="00F90210"/>
    <w:rsid w:val="00F90367"/>
    <w:rsid w:val="00F9050B"/>
    <w:rsid w:val="00F908A4"/>
    <w:rsid w:val="00F90EF4"/>
    <w:rsid w:val="00F91BB6"/>
    <w:rsid w:val="00F91F86"/>
    <w:rsid w:val="00F925CB"/>
    <w:rsid w:val="00F927FF"/>
    <w:rsid w:val="00F92935"/>
    <w:rsid w:val="00F931AC"/>
    <w:rsid w:val="00F93653"/>
    <w:rsid w:val="00F936E7"/>
    <w:rsid w:val="00F93758"/>
    <w:rsid w:val="00F93784"/>
    <w:rsid w:val="00F937FF"/>
    <w:rsid w:val="00F93968"/>
    <w:rsid w:val="00F939CC"/>
    <w:rsid w:val="00F94010"/>
    <w:rsid w:val="00F94236"/>
    <w:rsid w:val="00F94571"/>
    <w:rsid w:val="00F949A6"/>
    <w:rsid w:val="00F94D34"/>
    <w:rsid w:val="00F94E39"/>
    <w:rsid w:val="00F94F3A"/>
    <w:rsid w:val="00F94F9F"/>
    <w:rsid w:val="00F95161"/>
    <w:rsid w:val="00F954DC"/>
    <w:rsid w:val="00F9555E"/>
    <w:rsid w:val="00F95980"/>
    <w:rsid w:val="00F95A60"/>
    <w:rsid w:val="00F95B0B"/>
    <w:rsid w:val="00F95DE3"/>
    <w:rsid w:val="00F95E68"/>
    <w:rsid w:val="00F96100"/>
    <w:rsid w:val="00F96AC8"/>
    <w:rsid w:val="00F96D05"/>
    <w:rsid w:val="00F97411"/>
    <w:rsid w:val="00F97451"/>
    <w:rsid w:val="00F97608"/>
    <w:rsid w:val="00F97953"/>
    <w:rsid w:val="00F97FC1"/>
    <w:rsid w:val="00FA0076"/>
    <w:rsid w:val="00FA117D"/>
    <w:rsid w:val="00FA12C4"/>
    <w:rsid w:val="00FA189E"/>
    <w:rsid w:val="00FA1984"/>
    <w:rsid w:val="00FA1D6E"/>
    <w:rsid w:val="00FA2791"/>
    <w:rsid w:val="00FA2853"/>
    <w:rsid w:val="00FA2889"/>
    <w:rsid w:val="00FA2895"/>
    <w:rsid w:val="00FA2C49"/>
    <w:rsid w:val="00FA2DBC"/>
    <w:rsid w:val="00FA3119"/>
    <w:rsid w:val="00FA3C0E"/>
    <w:rsid w:val="00FA48FA"/>
    <w:rsid w:val="00FA527C"/>
    <w:rsid w:val="00FA528A"/>
    <w:rsid w:val="00FA5635"/>
    <w:rsid w:val="00FA57D0"/>
    <w:rsid w:val="00FA5A5B"/>
    <w:rsid w:val="00FA74F4"/>
    <w:rsid w:val="00FA7635"/>
    <w:rsid w:val="00FA763E"/>
    <w:rsid w:val="00FA76D5"/>
    <w:rsid w:val="00FA7D0A"/>
    <w:rsid w:val="00FB0FBC"/>
    <w:rsid w:val="00FB112B"/>
    <w:rsid w:val="00FB1161"/>
    <w:rsid w:val="00FB1CA5"/>
    <w:rsid w:val="00FB1E2E"/>
    <w:rsid w:val="00FB1FA2"/>
    <w:rsid w:val="00FB2415"/>
    <w:rsid w:val="00FB2575"/>
    <w:rsid w:val="00FB26CE"/>
    <w:rsid w:val="00FB27AC"/>
    <w:rsid w:val="00FB286C"/>
    <w:rsid w:val="00FB2926"/>
    <w:rsid w:val="00FB2F74"/>
    <w:rsid w:val="00FB3371"/>
    <w:rsid w:val="00FB3778"/>
    <w:rsid w:val="00FB3CBC"/>
    <w:rsid w:val="00FB4150"/>
    <w:rsid w:val="00FB4B0B"/>
    <w:rsid w:val="00FB553B"/>
    <w:rsid w:val="00FB5B7E"/>
    <w:rsid w:val="00FB5D53"/>
    <w:rsid w:val="00FB642E"/>
    <w:rsid w:val="00FB6731"/>
    <w:rsid w:val="00FB738D"/>
    <w:rsid w:val="00FB7788"/>
    <w:rsid w:val="00FB7A53"/>
    <w:rsid w:val="00FB7DF0"/>
    <w:rsid w:val="00FC015E"/>
    <w:rsid w:val="00FC0329"/>
    <w:rsid w:val="00FC03AB"/>
    <w:rsid w:val="00FC08A4"/>
    <w:rsid w:val="00FC0CE2"/>
    <w:rsid w:val="00FC15C7"/>
    <w:rsid w:val="00FC1C28"/>
    <w:rsid w:val="00FC1DE2"/>
    <w:rsid w:val="00FC20CB"/>
    <w:rsid w:val="00FC2244"/>
    <w:rsid w:val="00FC2257"/>
    <w:rsid w:val="00FC2A94"/>
    <w:rsid w:val="00FC2F8F"/>
    <w:rsid w:val="00FC3069"/>
    <w:rsid w:val="00FC30CE"/>
    <w:rsid w:val="00FC3717"/>
    <w:rsid w:val="00FC3A8D"/>
    <w:rsid w:val="00FC3CD6"/>
    <w:rsid w:val="00FC4475"/>
    <w:rsid w:val="00FC45A7"/>
    <w:rsid w:val="00FC475C"/>
    <w:rsid w:val="00FC48E5"/>
    <w:rsid w:val="00FC5148"/>
    <w:rsid w:val="00FC539A"/>
    <w:rsid w:val="00FC5718"/>
    <w:rsid w:val="00FC5BC4"/>
    <w:rsid w:val="00FC5CAA"/>
    <w:rsid w:val="00FC5F94"/>
    <w:rsid w:val="00FC608A"/>
    <w:rsid w:val="00FC61AD"/>
    <w:rsid w:val="00FC6796"/>
    <w:rsid w:val="00FC67AB"/>
    <w:rsid w:val="00FC67F8"/>
    <w:rsid w:val="00FC691B"/>
    <w:rsid w:val="00FC7504"/>
    <w:rsid w:val="00FC7895"/>
    <w:rsid w:val="00FC78FF"/>
    <w:rsid w:val="00FC7D7E"/>
    <w:rsid w:val="00FD037C"/>
    <w:rsid w:val="00FD041F"/>
    <w:rsid w:val="00FD0580"/>
    <w:rsid w:val="00FD09B0"/>
    <w:rsid w:val="00FD1454"/>
    <w:rsid w:val="00FD147E"/>
    <w:rsid w:val="00FD1788"/>
    <w:rsid w:val="00FD188D"/>
    <w:rsid w:val="00FD1947"/>
    <w:rsid w:val="00FD1A53"/>
    <w:rsid w:val="00FD1C52"/>
    <w:rsid w:val="00FD1E34"/>
    <w:rsid w:val="00FD1E5C"/>
    <w:rsid w:val="00FD1F52"/>
    <w:rsid w:val="00FD255B"/>
    <w:rsid w:val="00FD2635"/>
    <w:rsid w:val="00FD2714"/>
    <w:rsid w:val="00FD3A82"/>
    <w:rsid w:val="00FD3AE9"/>
    <w:rsid w:val="00FD3B06"/>
    <w:rsid w:val="00FD42A6"/>
    <w:rsid w:val="00FD43F1"/>
    <w:rsid w:val="00FD4C8E"/>
    <w:rsid w:val="00FD4F24"/>
    <w:rsid w:val="00FD5323"/>
    <w:rsid w:val="00FD553B"/>
    <w:rsid w:val="00FD55B1"/>
    <w:rsid w:val="00FD5A19"/>
    <w:rsid w:val="00FD5BD5"/>
    <w:rsid w:val="00FD5FBD"/>
    <w:rsid w:val="00FD6292"/>
    <w:rsid w:val="00FD62E6"/>
    <w:rsid w:val="00FD643B"/>
    <w:rsid w:val="00FD6451"/>
    <w:rsid w:val="00FD6549"/>
    <w:rsid w:val="00FD7D49"/>
    <w:rsid w:val="00FD7E26"/>
    <w:rsid w:val="00FD7E93"/>
    <w:rsid w:val="00FE04E1"/>
    <w:rsid w:val="00FE07BB"/>
    <w:rsid w:val="00FE08CE"/>
    <w:rsid w:val="00FE0C02"/>
    <w:rsid w:val="00FE1043"/>
    <w:rsid w:val="00FE1A20"/>
    <w:rsid w:val="00FE210A"/>
    <w:rsid w:val="00FE223E"/>
    <w:rsid w:val="00FE2F68"/>
    <w:rsid w:val="00FE3455"/>
    <w:rsid w:val="00FE392C"/>
    <w:rsid w:val="00FE3C73"/>
    <w:rsid w:val="00FE40BB"/>
    <w:rsid w:val="00FE4177"/>
    <w:rsid w:val="00FE4271"/>
    <w:rsid w:val="00FE45A8"/>
    <w:rsid w:val="00FE48A6"/>
    <w:rsid w:val="00FE504D"/>
    <w:rsid w:val="00FE53F2"/>
    <w:rsid w:val="00FE584F"/>
    <w:rsid w:val="00FE59E7"/>
    <w:rsid w:val="00FE5C0A"/>
    <w:rsid w:val="00FE682C"/>
    <w:rsid w:val="00FE6FB7"/>
    <w:rsid w:val="00FE7071"/>
    <w:rsid w:val="00FE724B"/>
    <w:rsid w:val="00FE7483"/>
    <w:rsid w:val="00FE7AF4"/>
    <w:rsid w:val="00FF000B"/>
    <w:rsid w:val="00FF0378"/>
    <w:rsid w:val="00FF0545"/>
    <w:rsid w:val="00FF07B3"/>
    <w:rsid w:val="00FF0FB6"/>
    <w:rsid w:val="00FF1557"/>
    <w:rsid w:val="00FF15D1"/>
    <w:rsid w:val="00FF1651"/>
    <w:rsid w:val="00FF17B3"/>
    <w:rsid w:val="00FF182F"/>
    <w:rsid w:val="00FF1876"/>
    <w:rsid w:val="00FF1AF0"/>
    <w:rsid w:val="00FF20B7"/>
    <w:rsid w:val="00FF2281"/>
    <w:rsid w:val="00FF2435"/>
    <w:rsid w:val="00FF36DD"/>
    <w:rsid w:val="00FF3872"/>
    <w:rsid w:val="00FF3B88"/>
    <w:rsid w:val="00FF3E6D"/>
    <w:rsid w:val="00FF4858"/>
    <w:rsid w:val="00FF4941"/>
    <w:rsid w:val="00FF4C99"/>
    <w:rsid w:val="00FF54C1"/>
    <w:rsid w:val="00FF5A09"/>
    <w:rsid w:val="00FF5B48"/>
    <w:rsid w:val="00FF5D98"/>
    <w:rsid w:val="00FF5DEE"/>
    <w:rsid w:val="00FF5EFC"/>
    <w:rsid w:val="00FF638E"/>
    <w:rsid w:val="00FF674A"/>
    <w:rsid w:val="00FF6F93"/>
    <w:rsid w:val="00FF6FB7"/>
    <w:rsid w:val="00FF7196"/>
    <w:rsid w:val="00FF7318"/>
    <w:rsid w:val="00FF745D"/>
    <w:rsid w:val="00FF7686"/>
    <w:rsid w:val="00FF771E"/>
    <w:rsid w:val="00FF7908"/>
    <w:rsid w:val="00FF7FBC"/>
    <w:rsid w:val="015142A0"/>
    <w:rsid w:val="023525C7"/>
    <w:rsid w:val="03A55D36"/>
    <w:rsid w:val="03C55C12"/>
    <w:rsid w:val="0408B2E0"/>
    <w:rsid w:val="040A9D41"/>
    <w:rsid w:val="05170823"/>
    <w:rsid w:val="05A565E3"/>
    <w:rsid w:val="05E81F46"/>
    <w:rsid w:val="0840C95F"/>
    <w:rsid w:val="084B4F2F"/>
    <w:rsid w:val="087483E7"/>
    <w:rsid w:val="0A02BB0D"/>
    <w:rsid w:val="0CE0F07D"/>
    <w:rsid w:val="11DD1120"/>
    <w:rsid w:val="12A48619"/>
    <w:rsid w:val="12F3C91A"/>
    <w:rsid w:val="13625192"/>
    <w:rsid w:val="1398836A"/>
    <w:rsid w:val="140F12A1"/>
    <w:rsid w:val="143C7011"/>
    <w:rsid w:val="14457E54"/>
    <w:rsid w:val="16984408"/>
    <w:rsid w:val="16AB0A16"/>
    <w:rsid w:val="1A2E2702"/>
    <w:rsid w:val="1B5C9D91"/>
    <w:rsid w:val="1B802331"/>
    <w:rsid w:val="1C466368"/>
    <w:rsid w:val="1FB868F3"/>
    <w:rsid w:val="20CB5DC5"/>
    <w:rsid w:val="215F065B"/>
    <w:rsid w:val="23D0B114"/>
    <w:rsid w:val="24553AA1"/>
    <w:rsid w:val="248AD91F"/>
    <w:rsid w:val="25EA1DEB"/>
    <w:rsid w:val="26652351"/>
    <w:rsid w:val="28FC2FBC"/>
    <w:rsid w:val="2A4674C1"/>
    <w:rsid w:val="2B2E51C0"/>
    <w:rsid w:val="2C6C5788"/>
    <w:rsid w:val="2EDDCCC4"/>
    <w:rsid w:val="2F8F8A15"/>
    <w:rsid w:val="30A55EE4"/>
    <w:rsid w:val="30BF9BF9"/>
    <w:rsid w:val="30DD9921"/>
    <w:rsid w:val="31BE89A6"/>
    <w:rsid w:val="32805792"/>
    <w:rsid w:val="34D8973E"/>
    <w:rsid w:val="36E4076D"/>
    <w:rsid w:val="3732C965"/>
    <w:rsid w:val="3800CB80"/>
    <w:rsid w:val="38737BC8"/>
    <w:rsid w:val="3B427E0D"/>
    <w:rsid w:val="3CD1132A"/>
    <w:rsid w:val="3DA3FE7D"/>
    <w:rsid w:val="3E82B8F4"/>
    <w:rsid w:val="3F0C4133"/>
    <w:rsid w:val="3F75007C"/>
    <w:rsid w:val="42BB0F2E"/>
    <w:rsid w:val="42BD43BE"/>
    <w:rsid w:val="43DB5E1D"/>
    <w:rsid w:val="43E2BD68"/>
    <w:rsid w:val="446200BC"/>
    <w:rsid w:val="453617D8"/>
    <w:rsid w:val="45574FDC"/>
    <w:rsid w:val="469E5986"/>
    <w:rsid w:val="474F0636"/>
    <w:rsid w:val="47636553"/>
    <w:rsid w:val="497EA42B"/>
    <w:rsid w:val="4BEF9616"/>
    <w:rsid w:val="4D3B4A16"/>
    <w:rsid w:val="4F9188FB"/>
    <w:rsid w:val="521A44E5"/>
    <w:rsid w:val="5268559B"/>
    <w:rsid w:val="5314B140"/>
    <w:rsid w:val="55AC14F2"/>
    <w:rsid w:val="56E12066"/>
    <w:rsid w:val="588C03F1"/>
    <w:rsid w:val="593D4B41"/>
    <w:rsid w:val="59CB6F7B"/>
    <w:rsid w:val="5A9BB46F"/>
    <w:rsid w:val="5CFB28C4"/>
    <w:rsid w:val="5F046092"/>
    <w:rsid w:val="5F2CF239"/>
    <w:rsid w:val="618C0809"/>
    <w:rsid w:val="62A53781"/>
    <w:rsid w:val="62C79C71"/>
    <w:rsid w:val="62F96F07"/>
    <w:rsid w:val="63D0CCDB"/>
    <w:rsid w:val="660F23BA"/>
    <w:rsid w:val="66E1B6DB"/>
    <w:rsid w:val="6721223B"/>
    <w:rsid w:val="67BF1C61"/>
    <w:rsid w:val="68786A86"/>
    <w:rsid w:val="6CE5218B"/>
    <w:rsid w:val="6D646B4E"/>
    <w:rsid w:val="6E5FA0B5"/>
    <w:rsid w:val="72986FA1"/>
    <w:rsid w:val="7698BBBD"/>
    <w:rsid w:val="7842064D"/>
    <w:rsid w:val="7A590A3C"/>
    <w:rsid w:val="7A5B43CF"/>
    <w:rsid w:val="7B25EF7F"/>
    <w:rsid w:val="7C3F7AF3"/>
    <w:rsid w:val="7C816838"/>
    <w:rsid w:val="7D5DE514"/>
    <w:rsid w:val="7E31F913"/>
    <w:rsid w:val="7FC541BD"/>
    <w:rsid w:val="7FEF8536"/>
    <w:rsid w:val="7FF227E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BD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38"/>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CellMar>
        <w:left w:w="0" w:type="dxa"/>
        <w:right w:w="0" w:type="dxa"/>
      </w:tblCellMar>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CellMar>
        <w:left w:w="0" w:type="dxa"/>
        <w:right w:w="0" w:type="dxa"/>
      </w:tblCellMar>
    </w:tblPr>
    <w:tcPr>
      <w:tcBorders>
        <w:top w:val="nil"/>
        <w:left w:val="single" w:sz="24" w:space="0" w:color="9FB76F" w:themeColor="accent1"/>
        <w:bottom w:val="nil"/>
        <w:right w:val="nil"/>
        <w:insideH w:val="nil"/>
        <w:insideV w:val="nil"/>
        <w:tl2br w:val="nil"/>
        <w:tr2bl w:val="nil"/>
      </w:tcBorders>
      <w:shd w:val="pct5" w:color="auto" w:fill="auto"/>
      <w:noWrap/>
    </w:tcPr>
    <w:tblStylePr w:type="firstRow">
      <w:pPr>
        <w:wordWrap/>
        <w:spacing w:beforeLines="0" w:afterLines="0" w:line="240" w:lineRule="auto"/>
      </w:pPr>
      <w:rPr>
        <w:rFonts w:asciiTheme="minorHAnsi" w:hAnsiTheme="minorHAnsi"/>
        <w:b/>
        <w:sz w:val="24"/>
      </w:r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3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6E0638"/>
    <w:rPr>
      <w:color w:val="605E5C"/>
      <w:shd w:val="clear" w:color="auto" w:fill="E1DFDD"/>
    </w:rPr>
  </w:style>
  <w:style w:type="paragraph" w:styleId="ListParagraph">
    <w:name w:val="List Paragraph"/>
    <w:basedOn w:val="Normal"/>
    <w:uiPriority w:val="34"/>
    <w:qFormat/>
    <w:rsid w:val="006E0638"/>
    <w:pPr>
      <w:spacing w:after="160" w:line="259" w:lineRule="auto"/>
      <w:ind w:left="720"/>
      <w:contextualSpacing/>
    </w:pPr>
    <w:rPr>
      <w:rFonts w:eastAsiaTheme="minorHAnsi" w:cstheme="minorBidi"/>
      <w:color w:val="auto"/>
      <w:kern w:val="2"/>
      <w:szCs w:val="22"/>
      <w14:ligatures w14:val="standardContextual"/>
    </w:rPr>
  </w:style>
  <w:style w:type="paragraph" w:styleId="FootnoteText">
    <w:name w:val="footnote text"/>
    <w:basedOn w:val="Normal"/>
    <w:link w:val="FootnoteTextChar"/>
    <w:uiPriority w:val="99"/>
    <w:semiHidden/>
    <w:unhideWhenUsed/>
    <w:rsid w:val="00456145"/>
    <w:pPr>
      <w:spacing w:after="0"/>
    </w:pPr>
    <w:rPr>
      <w:sz w:val="20"/>
      <w:szCs w:val="20"/>
    </w:rPr>
  </w:style>
  <w:style w:type="character" w:customStyle="1" w:styleId="FootnoteTextChar">
    <w:name w:val="Footnote Text Char"/>
    <w:basedOn w:val="DefaultParagraphFont"/>
    <w:link w:val="FootnoteText"/>
    <w:uiPriority w:val="99"/>
    <w:semiHidden/>
    <w:rsid w:val="00456145"/>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456145"/>
    <w:rPr>
      <w:vertAlign w:val="superscript"/>
    </w:rPr>
  </w:style>
  <w:style w:type="character" w:styleId="CommentReference">
    <w:name w:val="annotation reference"/>
    <w:basedOn w:val="DefaultParagraphFont"/>
    <w:uiPriority w:val="99"/>
    <w:semiHidden/>
    <w:unhideWhenUsed/>
    <w:rsid w:val="003F20FE"/>
    <w:rPr>
      <w:sz w:val="16"/>
      <w:szCs w:val="16"/>
    </w:rPr>
  </w:style>
  <w:style w:type="paragraph" w:styleId="CommentText">
    <w:name w:val="annotation text"/>
    <w:basedOn w:val="Normal"/>
    <w:link w:val="CommentTextChar"/>
    <w:uiPriority w:val="99"/>
    <w:unhideWhenUsed/>
    <w:rsid w:val="003F20FE"/>
    <w:pPr>
      <w:spacing w:after="160"/>
    </w:pPr>
    <w:rPr>
      <w:rFonts w:eastAsiaTheme="minorHAnsi" w:cstheme="minorBidi"/>
      <w:color w:val="auto"/>
      <w:kern w:val="2"/>
      <w:sz w:val="20"/>
      <w:szCs w:val="20"/>
      <w14:ligatures w14:val="standardContextual"/>
    </w:rPr>
  </w:style>
  <w:style w:type="character" w:customStyle="1" w:styleId="CommentTextChar">
    <w:name w:val="Comment Text Char"/>
    <w:basedOn w:val="DefaultParagraphFont"/>
    <w:link w:val="CommentText"/>
    <w:uiPriority w:val="99"/>
    <w:rsid w:val="003F20FE"/>
    <w:rPr>
      <w:rFonts w:asciiTheme="minorHAnsi" w:eastAsiaTheme="minorHAnsi" w:hAnsiTheme="minorHAnsi" w:cstheme="minorBidi"/>
      <w:kern w:val="2"/>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4B0908"/>
    <w:pPr>
      <w:spacing w:after="200"/>
    </w:pPr>
    <w:rPr>
      <w:rFonts w:eastAsia="Cambria" w:cstheme="minorHAnsi"/>
      <w:b/>
      <w:bCs/>
      <w:color w:val="000000" w:themeColor="text1"/>
      <w:kern w:val="0"/>
      <w14:ligatures w14:val="none"/>
    </w:rPr>
  </w:style>
  <w:style w:type="character" w:customStyle="1" w:styleId="CommentSubjectChar">
    <w:name w:val="Comment Subject Char"/>
    <w:basedOn w:val="CommentTextChar"/>
    <w:link w:val="CommentSubject"/>
    <w:uiPriority w:val="99"/>
    <w:semiHidden/>
    <w:rsid w:val="004B0908"/>
    <w:rPr>
      <w:rFonts w:asciiTheme="minorHAnsi" w:eastAsiaTheme="minorHAnsi" w:hAnsiTheme="minorHAnsi" w:cstheme="minorHAnsi"/>
      <w:b/>
      <w:bCs/>
      <w:color w:val="000000" w:themeColor="text1"/>
      <w:kern w:val="2"/>
      <w:lang w:eastAsia="en-US"/>
      <w14:ligatures w14:val="standardContextual"/>
    </w:rPr>
  </w:style>
  <w:style w:type="paragraph" w:styleId="Revision">
    <w:name w:val="Revision"/>
    <w:hidden/>
    <w:semiHidden/>
    <w:rsid w:val="00A34A35"/>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B46993"/>
    <w:rPr>
      <w:color w:val="2B579A"/>
      <w:shd w:val="clear" w:color="auto" w:fill="E1DFDD"/>
    </w:rPr>
  </w:style>
  <w:style w:type="paragraph" w:styleId="EndnoteText">
    <w:name w:val="endnote text"/>
    <w:basedOn w:val="Normal"/>
    <w:link w:val="EndnoteTextChar"/>
    <w:uiPriority w:val="99"/>
    <w:semiHidden/>
    <w:unhideWhenUsed/>
    <w:rsid w:val="005E3BBE"/>
    <w:pPr>
      <w:spacing w:after="0"/>
    </w:pPr>
    <w:rPr>
      <w:sz w:val="20"/>
      <w:szCs w:val="20"/>
    </w:rPr>
  </w:style>
  <w:style w:type="character" w:customStyle="1" w:styleId="EndnoteTextChar">
    <w:name w:val="Endnote Text Char"/>
    <w:basedOn w:val="DefaultParagraphFont"/>
    <w:link w:val="EndnoteText"/>
    <w:uiPriority w:val="99"/>
    <w:semiHidden/>
    <w:rsid w:val="005E3BBE"/>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5E3B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82726">
      <w:bodyDiv w:val="1"/>
      <w:marLeft w:val="0"/>
      <w:marRight w:val="0"/>
      <w:marTop w:val="0"/>
      <w:marBottom w:val="0"/>
      <w:divBdr>
        <w:top w:val="none" w:sz="0" w:space="0" w:color="auto"/>
        <w:left w:val="none" w:sz="0" w:space="0" w:color="auto"/>
        <w:bottom w:val="none" w:sz="0" w:space="0" w:color="auto"/>
        <w:right w:val="none" w:sz="0" w:space="0" w:color="auto"/>
      </w:divBdr>
    </w:div>
    <w:div w:id="278921855">
      <w:bodyDiv w:val="1"/>
      <w:marLeft w:val="0"/>
      <w:marRight w:val="0"/>
      <w:marTop w:val="0"/>
      <w:marBottom w:val="0"/>
      <w:divBdr>
        <w:top w:val="none" w:sz="0" w:space="0" w:color="auto"/>
        <w:left w:val="none" w:sz="0" w:space="0" w:color="auto"/>
        <w:bottom w:val="none" w:sz="0" w:space="0" w:color="auto"/>
        <w:right w:val="none" w:sz="0" w:space="0" w:color="auto"/>
      </w:divBdr>
    </w:div>
    <w:div w:id="462892614">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31956892">
      <w:bodyDiv w:val="1"/>
      <w:marLeft w:val="0"/>
      <w:marRight w:val="0"/>
      <w:marTop w:val="0"/>
      <w:marBottom w:val="0"/>
      <w:divBdr>
        <w:top w:val="none" w:sz="0" w:space="0" w:color="auto"/>
        <w:left w:val="none" w:sz="0" w:space="0" w:color="auto"/>
        <w:bottom w:val="none" w:sz="0" w:space="0" w:color="auto"/>
        <w:right w:val="none" w:sz="0" w:space="0" w:color="auto"/>
      </w:divBdr>
    </w:div>
    <w:div w:id="1337609533">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43051386">
      <w:bodyDiv w:val="1"/>
      <w:marLeft w:val="0"/>
      <w:marRight w:val="0"/>
      <w:marTop w:val="0"/>
      <w:marBottom w:val="0"/>
      <w:divBdr>
        <w:top w:val="none" w:sz="0" w:space="0" w:color="auto"/>
        <w:left w:val="none" w:sz="0" w:space="0" w:color="auto"/>
        <w:bottom w:val="none" w:sz="0" w:space="0" w:color="auto"/>
        <w:right w:val="none" w:sz="0" w:space="0" w:color="auto"/>
      </w:divBdr>
    </w:div>
    <w:div w:id="1635871141">
      <w:bodyDiv w:val="1"/>
      <w:marLeft w:val="0"/>
      <w:marRight w:val="0"/>
      <w:marTop w:val="0"/>
      <w:marBottom w:val="0"/>
      <w:divBdr>
        <w:top w:val="none" w:sz="0" w:space="0" w:color="auto"/>
        <w:left w:val="none" w:sz="0" w:space="0" w:color="auto"/>
        <w:bottom w:val="none" w:sz="0" w:space="0" w:color="auto"/>
        <w:right w:val="none" w:sz="0" w:space="0" w:color="auto"/>
      </w:divBdr>
    </w:div>
    <w:div w:id="1734549279">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limatechangeauthority.gov.au/annual-progress-report"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cer.gov.au/schemes/national-greenhouse-and-energy-reporting-schem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limatechangeauthority.gov.au/annual-progress-repor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r.gov.au/schemes/safeguard-mechanism"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hyperlink" Target="https://cer.gov.au/schemes/safeguard-mechanism/managing-excess-emissions"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chart" Target="charts/chart1.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https://cergovau.sharepoint.com/sites/EDi-Safeguard/Publication%20and%20Reporting/2024-25%20-%20November%202025%20data%20publication/Draft%20Graphs%20-%20Nov%20publication.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https://cergovau.sharepoint.com/sites/EDi-Safeguard/Publication%20and%20Reporting/2024-25%20-%20November%202025%20data%20publication/Draft%20Graphs%20-%20Nov%20publication.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covered emissions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'2024-25 graphs'!$D$2</c:f>
              <c:strCache>
                <c:ptCount val="1"/>
                <c:pt idx="0">
                  <c:v>Total covered emissions (Mt CO2-e)</c:v>
                </c:pt>
              </c:strCache>
            </c:strRef>
          </c:tx>
          <c:spPr>
            <a:solidFill>
              <a:schemeClr val="accent1"/>
            </a:solidFill>
            <a:ln>
              <a:noFill/>
            </a:ln>
            <a:effectLst/>
          </c:spPr>
          <c:invertIfNegative val="0"/>
          <c:dPt>
            <c:idx val="4"/>
            <c:invertIfNegative val="0"/>
            <c:bubble3D val="0"/>
            <c:spPr>
              <a:solidFill>
                <a:schemeClr val="accent2"/>
              </a:solidFill>
              <a:ln>
                <a:noFill/>
              </a:ln>
              <a:effectLst/>
            </c:spPr>
            <c:extLst>
              <c:ext xmlns:c16="http://schemas.microsoft.com/office/drawing/2014/chart" uri="{C3380CC4-5D6E-409C-BE32-E72D297353CC}">
                <c16:uniqueId val="{00000001-E8B1-4CD2-9A74-7540CD5CA6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'2024-25 graphs'!$C$3:$C$7</c:f>
              <c:strCache>
                <c:ptCount val="5"/>
                <c:pt idx="0">
                  <c:v>2020-21</c:v>
                </c:pt>
                <c:pt idx="1">
                  <c:v>2021-22</c:v>
                </c:pt>
                <c:pt idx="2">
                  <c:v>2022-23</c:v>
                </c:pt>
                <c:pt idx="3">
                  <c:v>2023-24</c:v>
                </c:pt>
                <c:pt idx="4">
                  <c:v>2024-25</c:v>
                </c:pt>
              </c:strCache>
            </c:strRef>
          </c:cat>
          <c:val>
            <c:numRef>
              <c:f>'2024-25 graphs'!$D$3:$D$7</c:f>
              <c:numCache>
                <c:formatCode>General</c:formatCode>
                <c:ptCount val="5"/>
                <c:pt idx="0">
                  <c:v>137.1</c:v>
                </c:pt>
                <c:pt idx="1">
                  <c:v>137.5</c:v>
                </c:pt>
                <c:pt idx="2">
                  <c:v>138.6</c:v>
                </c:pt>
                <c:pt idx="3">
                  <c:v>135.9</c:v>
                </c:pt>
                <c:pt idx="4">
                  <c:v>132.69999999999999</c:v>
                </c:pt>
              </c:numCache>
            </c:numRef>
          </c:val>
          <c:extLst>
            <c:ext xmlns:c16="http://schemas.microsoft.com/office/drawing/2014/chart" uri="{C3380CC4-5D6E-409C-BE32-E72D297353CC}">
              <c16:uniqueId val="{00000002-E8B1-4CD2-9A74-7540CD5CA6CC}"/>
            </c:ext>
          </c:extLst>
        </c:ser>
        <c:dLbls>
          <c:showLegendKey val="0"/>
          <c:showVal val="0"/>
          <c:showCatName val="0"/>
          <c:showSerName val="0"/>
          <c:showPercent val="0"/>
          <c:showBubbleSize val="0"/>
        </c:dLbls>
        <c:gapWidth val="46"/>
        <c:overlap val="100"/>
        <c:axId val="86266959"/>
        <c:axId val="86267439"/>
      </c:barChart>
      <c:lineChart>
        <c:grouping val="standard"/>
        <c:varyColors val="0"/>
        <c:ser>
          <c:idx val="1"/>
          <c:order val="1"/>
          <c:tx>
            <c:v>Trend Line</c:v>
          </c:tx>
          <c:spPr>
            <a:ln w="28575" cap="rnd">
              <a:solidFill>
                <a:schemeClr val="tx1"/>
              </a:solidFill>
              <a:round/>
            </a:ln>
            <a:effectLst/>
          </c:spPr>
          <c:marker>
            <c:symbol val="circle"/>
            <c:size val="5"/>
            <c:spPr>
              <a:solidFill>
                <a:schemeClr val="tx1"/>
              </a:solidFill>
              <a:ln w="9525">
                <a:solidFill>
                  <a:schemeClr val="tx1"/>
                </a:solidFill>
              </a:ln>
              <a:effectLst/>
            </c:spPr>
          </c:marker>
          <c:val>
            <c:numRef>
              <c:f>'2024-25 graphs'!$D$3:$D$7</c:f>
              <c:numCache>
                <c:formatCode>General</c:formatCode>
                <c:ptCount val="5"/>
                <c:pt idx="0">
                  <c:v>137.1</c:v>
                </c:pt>
                <c:pt idx="1">
                  <c:v>137.5</c:v>
                </c:pt>
                <c:pt idx="2">
                  <c:v>138.6</c:v>
                </c:pt>
                <c:pt idx="3">
                  <c:v>135.9</c:v>
                </c:pt>
                <c:pt idx="4">
                  <c:v>132.69999999999999</c:v>
                </c:pt>
              </c:numCache>
            </c:numRef>
          </c:val>
          <c:smooth val="0"/>
          <c:extLst>
            <c:ext xmlns:c16="http://schemas.microsoft.com/office/drawing/2014/chart" uri="{C3380CC4-5D6E-409C-BE32-E72D297353CC}">
              <c16:uniqueId val="{00000003-E8B1-4CD2-9A74-7540CD5CA6CC}"/>
            </c:ext>
          </c:extLst>
        </c:ser>
        <c:dLbls>
          <c:showLegendKey val="0"/>
          <c:showVal val="0"/>
          <c:showCatName val="0"/>
          <c:showSerName val="0"/>
          <c:showPercent val="0"/>
          <c:showBubbleSize val="0"/>
        </c:dLbls>
        <c:marker val="1"/>
        <c:smooth val="0"/>
        <c:axId val="86266959"/>
        <c:axId val="86267439"/>
      </c:lineChart>
      <c:catAx>
        <c:axId val="862669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Financial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267439"/>
        <c:crosses val="autoZero"/>
        <c:auto val="1"/>
        <c:lblAlgn val="ctr"/>
        <c:lblOffset val="100"/>
        <c:noMultiLvlLbl val="0"/>
      </c:catAx>
      <c:valAx>
        <c:axId val="86267439"/>
        <c:scaling>
          <c:orientation val="minMax"/>
          <c:min val="1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b="0" i="0" u="none" strike="noStrike" kern="1200" baseline="0">
                    <a:solidFill>
                      <a:sysClr val="windowText" lastClr="000000">
                        <a:lumMod val="65000"/>
                        <a:lumOff val="35000"/>
                      </a:sysClr>
                    </a:solidFill>
                  </a:rPr>
                  <a:t>Mt CO2-e</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2669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2024-25 top ANZSIC codes of covered emissions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'2024-25 ANZSIC'!$C$2</c:f>
              <c:strCache>
                <c:ptCount val="1"/>
                <c:pt idx="0">
                  <c:v>2023-24 covered emissions</c:v>
                </c:pt>
              </c:strCache>
            </c:strRef>
          </c:tx>
          <c:spPr>
            <a:solidFill>
              <a:schemeClr val="accent1"/>
            </a:solidFill>
            <a:ln>
              <a:solidFill>
                <a:schemeClr val="tx1"/>
              </a:solidFill>
            </a:ln>
            <a:effectLst/>
          </c:spPr>
          <c:invertIfNegative val="0"/>
          <c:cat>
            <c:strRef>
              <c:f>'2024-25 ANZSIC'!$B$3:$B$8</c:f>
              <c:strCache>
                <c:ptCount val="6"/>
                <c:pt idx="0">
                  <c:v>Oil and gas extraction 
(070)</c:v>
                </c:pt>
                <c:pt idx="1">
                  <c:v>Coal mining
(060)</c:v>
                </c:pt>
                <c:pt idx="2">
                  <c:v>Metal manufacturing 
(213, 212 and 211)</c:v>
                </c:pt>
                <c:pt idx="3">
                  <c:v>Other manufacturing 
(209, 203, 201, 189, 183, 181, 170, 151, 116)</c:v>
                </c:pt>
                <c:pt idx="4">
                  <c:v>Metal ore mining 
(080)</c:v>
                </c:pt>
                <c:pt idx="5">
                  <c:v>Transport 
(490, 482, 472, 471, 461)</c:v>
                </c:pt>
              </c:strCache>
            </c:strRef>
          </c:cat>
          <c:val>
            <c:numRef>
              <c:f>'2024-25 ANZSIC'!$C$3:$C$8</c:f>
              <c:numCache>
                <c:formatCode>_-* #,##0_-;\-* #,##0_-;_-* "-"??_-;_-@_-</c:formatCode>
                <c:ptCount val="6"/>
                <c:pt idx="0">
                  <c:v>42648837</c:v>
                </c:pt>
                <c:pt idx="1">
                  <c:v>31634038</c:v>
                </c:pt>
                <c:pt idx="2">
                  <c:v>23659742</c:v>
                </c:pt>
                <c:pt idx="3">
                  <c:v>12978522</c:v>
                </c:pt>
                <c:pt idx="4">
                  <c:v>12415109</c:v>
                </c:pt>
                <c:pt idx="5">
                  <c:v>10025155</c:v>
                </c:pt>
              </c:numCache>
            </c:numRef>
          </c:val>
          <c:extLst>
            <c:ext xmlns:c16="http://schemas.microsoft.com/office/drawing/2014/chart" uri="{C3380CC4-5D6E-409C-BE32-E72D297353CC}">
              <c16:uniqueId val="{00000000-3713-4633-A70C-4C1ACBE682FB}"/>
            </c:ext>
          </c:extLst>
        </c:ser>
        <c:ser>
          <c:idx val="1"/>
          <c:order val="1"/>
          <c:tx>
            <c:strRef>
              <c:f>'2024-25 ANZSIC'!$D$2</c:f>
              <c:strCache>
                <c:ptCount val="1"/>
                <c:pt idx="0">
                  <c:v>2024-25 covered emissions</c:v>
                </c:pt>
              </c:strCache>
            </c:strRef>
          </c:tx>
          <c:spPr>
            <a:solidFill>
              <a:schemeClr val="accent2"/>
            </a:solidFill>
            <a:ln>
              <a:solidFill>
                <a:schemeClr val="tx1"/>
              </a:solidFill>
            </a:ln>
            <a:effectLst/>
          </c:spPr>
          <c:invertIfNegative val="0"/>
          <c:cat>
            <c:strRef>
              <c:f>'2024-25 ANZSIC'!$B$3:$B$8</c:f>
              <c:strCache>
                <c:ptCount val="6"/>
                <c:pt idx="0">
                  <c:v>Oil and gas extraction 
(070)</c:v>
                </c:pt>
                <c:pt idx="1">
                  <c:v>Coal mining
(060)</c:v>
                </c:pt>
                <c:pt idx="2">
                  <c:v>Metal manufacturing 
(213, 212 and 211)</c:v>
                </c:pt>
                <c:pt idx="3">
                  <c:v>Other manufacturing 
(209, 203, 201, 189, 183, 181, 170, 151, 116)</c:v>
                </c:pt>
                <c:pt idx="4">
                  <c:v>Metal ore mining 
(080)</c:v>
                </c:pt>
                <c:pt idx="5">
                  <c:v>Transport 
(490, 482, 472, 471, 461)</c:v>
                </c:pt>
              </c:strCache>
            </c:strRef>
          </c:cat>
          <c:val>
            <c:numRef>
              <c:f>'2024-25 ANZSIC'!$D$3:$D$8</c:f>
              <c:numCache>
                <c:formatCode>_-* #,##0_-;\-* #,##0_-;_-* "-"??_-;_-@_-</c:formatCode>
                <c:ptCount val="6"/>
                <c:pt idx="0">
                  <c:v>41438210</c:v>
                </c:pt>
                <c:pt idx="1">
                  <c:v>31308296</c:v>
                </c:pt>
                <c:pt idx="2">
                  <c:v>22403488</c:v>
                </c:pt>
                <c:pt idx="3">
                  <c:v>12086848</c:v>
                </c:pt>
                <c:pt idx="4">
                  <c:v>11683869</c:v>
                </c:pt>
                <c:pt idx="5">
                  <c:v>10243889</c:v>
                </c:pt>
              </c:numCache>
            </c:numRef>
          </c:val>
          <c:extLst>
            <c:ext xmlns:c16="http://schemas.microsoft.com/office/drawing/2014/chart" uri="{C3380CC4-5D6E-409C-BE32-E72D297353CC}">
              <c16:uniqueId val="{00000001-3713-4633-A70C-4C1ACBE682FB}"/>
            </c:ext>
          </c:extLst>
        </c:ser>
        <c:dLbls>
          <c:showLegendKey val="0"/>
          <c:showVal val="0"/>
          <c:showCatName val="0"/>
          <c:showSerName val="0"/>
          <c:showPercent val="0"/>
          <c:showBubbleSize val="0"/>
        </c:dLbls>
        <c:gapWidth val="75"/>
        <c:overlap val="-25"/>
        <c:axId val="147105199"/>
        <c:axId val="147106159"/>
      </c:barChart>
      <c:catAx>
        <c:axId val="1471051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106159"/>
        <c:crosses val="autoZero"/>
        <c:auto val="1"/>
        <c:lblAlgn val="ctr"/>
        <c:lblOffset val="100"/>
        <c:noMultiLvlLbl val="0"/>
      </c:catAx>
      <c:valAx>
        <c:axId val="1471061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0" i="0" u="none" strike="noStrike" kern="1200" baseline="0">
                    <a:solidFill>
                      <a:sysClr val="windowText" lastClr="000000">
                        <a:lumMod val="65000"/>
                        <a:lumOff val="35000"/>
                      </a:sysClr>
                    </a:solidFill>
                    <a:effectLst/>
                  </a:rPr>
                  <a:t>MtCO</a:t>
                </a:r>
                <a:r>
                  <a:rPr lang="en-AU" sz="1000" b="0" i="0" u="none" strike="noStrike" kern="1200" baseline="-25000">
                    <a:solidFill>
                      <a:sysClr val="windowText" lastClr="000000">
                        <a:lumMod val="65000"/>
                        <a:lumOff val="35000"/>
                      </a:sysClr>
                    </a:solidFill>
                    <a:effectLst/>
                  </a:rPr>
                  <a:t>2</a:t>
                </a:r>
                <a:r>
                  <a:rPr lang="en-AU" sz="1000" b="0" i="0" u="none" strike="noStrike" kern="1200" baseline="0">
                    <a:solidFill>
                      <a:sysClr val="windowText" lastClr="000000">
                        <a:lumMod val="65000"/>
                        <a:lumOff val="35000"/>
                      </a:sysClr>
                    </a:solidFill>
                    <a:effectLst/>
                  </a:rPr>
                  <a:t>-e</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105199"/>
        <c:crosses val="autoZero"/>
        <c:crossBetween val="between"/>
        <c:dispUnits>
          <c:builtInUnit val="millions"/>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0.6298</cdr:x>
      <cdr:y>0.14153</cdr:y>
    </cdr:from>
    <cdr:to>
      <cdr:x>0.63323</cdr:x>
      <cdr:y>0.83203</cdr:y>
    </cdr:to>
    <cdr:cxnSp macro="">
      <cdr:nvCxnSpPr>
        <cdr:cNvPr id="3" name="Straight Connector 2">
          <a:extLst xmlns:a="http://schemas.openxmlformats.org/drawingml/2006/main">
            <a:ext uri="{FF2B5EF4-FFF2-40B4-BE49-F238E27FC236}">
              <a16:creationId xmlns:a16="http://schemas.microsoft.com/office/drawing/2014/main" id="{21120D24-089E-5274-EBD7-873EBF9004FE}"/>
            </a:ext>
          </a:extLst>
        </cdr:cNvPr>
        <cdr:cNvCxnSpPr/>
      </cdr:nvCxnSpPr>
      <cdr:spPr>
        <a:xfrm xmlns:a="http://schemas.openxmlformats.org/drawingml/2006/main" flipH="1">
          <a:off x="3048828" y="473627"/>
          <a:ext cx="16566" cy="2310848"/>
        </a:xfrm>
        <a:prstGeom xmlns:a="http://schemas.openxmlformats.org/drawingml/2006/main" prst="line">
          <a:avLst/>
        </a:prstGeom>
        <a:ln xmlns:a="http://schemas.openxmlformats.org/drawingml/2006/main">
          <a:solidFill>
            <a:schemeClr val="bg2">
              <a:lumMod val="75000"/>
            </a:schemeClr>
          </a:solidFill>
          <a:prstDash val="dash"/>
        </a:ln>
        <a:effectLst xmlns:a="http://schemas.openxmlformats.org/drawingml/2006/mai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0.62996</cdr:x>
      <cdr:y>0.13275</cdr:y>
    </cdr:from>
    <cdr:to>
      <cdr:x>0.82672</cdr:x>
      <cdr:y>0.23917</cdr:y>
    </cdr:to>
    <cdr:sp macro="" textlink="">
      <cdr:nvSpPr>
        <cdr:cNvPr id="5" name="TextBox 4">
          <a:extLst xmlns:a="http://schemas.openxmlformats.org/drawingml/2006/main">
            <a:ext uri="{FF2B5EF4-FFF2-40B4-BE49-F238E27FC236}">
              <a16:creationId xmlns:a16="http://schemas.microsoft.com/office/drawing/2014/main" id="{B8CB0D40-782A-5F1B-567B-D3068988FEEF}"/>
            </a:ext>
          </a:extLst>
        </cdr:cNvPr>
        <cdr:cNvSpPr txBox="1"/>
      </cdr:nvSpPr>
      <cdr:spPr>
        <a:xfrm xmlns:a="http://schemas.openxmlformats.org/drawingml/2006/main">
          <a:off x="3850246" y="443573"/>
          <a:ext cx="1202573" cy="3555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700" kern="1200">
              <a:solidFill>
                <a:schemeClr val="bg2">
                  <a:lumMod val="75000"/>
                </a:schemeClr>
              </a:solidFill>
            </a:rPr>
            <a:t>2023</a:t>
          </a:r>
          <a:r>
            <a:rPr lang="en-AU" sz="700" kern="1200" baseline="0">
              <a:solidFill>
                <a:schemeClr val="bg2">
                  <a:lumMod val="75000"/>
                </a:schemeClr>
              </a:solidFill>
            </a:rPr>
            <a:t> Safeguard Mechanism Reforms</a:t>
          </a:r>
          <a:endParaRPr lang="en-AU" sz="700" kern="1200">
            <a:solidFill>
              <a:schemeClr val="bg2">
                <a:lumMod val="75000"/>
              </a:schemeClr>
            </a:solidFill>
          </a:endParaRPr>
        </a:p>
      </cdr:txBody>
    </cdr:sp>
  </cdr:relSizeAnchor>
</c:userShape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68097C-01F1-4DCD-83C2-4FE33976C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1700</Words>
  <Characters>9830</Characters>
  <Application>Microsoft Office Word</Application>
  <DocSecurity>8</DocSecurity>
  <Lines>156</Lines>
  <Paragraphs>73</Paragraphs>
  <ScaleCrop>false</ScaleCrop>
  <HeadingPairs>
    <vt:vector size="2" baseType="variant">
      <vt:variant>
        <vt:lpstr>Title</vt:lpstr>
      </vt:variant>
      <vt:variant>
        <vt:i4>1</vt:i4>
      </vt:variant>
    </vt:vector>
  </HeadingPairs>
  <TitlesOfParts>
    <vt:vector size="1" baseType="lpstr">
      <vt:lpstr>2024–25 safeguard preliminary insights</vt:lpstr>
    </vt:vector>
  </TitlesOfParts>
  <Company/>
  <LinksUpToDate>false</LinksUpToDate>
  <CharactersWithSpaces>11457</CharactersWithSpaces>
  <SharedDoc>false</SharedDoc>
  <HLinks>
    <vt:vector size="30" baseType="variant">
      <vt:variant>
        <vt:i4>5701660</vt:i4>
      </vt:variant>
      <vt:variant>
        <vt:i4>12</vt:i4>
      </vt:variant>
      <vt:variant>
        <vt:i4>0</vt:i4>
      </vt:variant>
      <vt:variant>
        <vt:i4>5</vt:i4>
      </vt:variant>
      <vt:variant>
        <vt:lpwstr>https://www.climatechangeauthority.gov.au/annual-progress-report</vt:lpwstr>
      </vt:variant>
      <vt:variant>
        <vt:lpwstr/>
      </vt:variant>
      <vt:variant>
        <vt:i4>5701660</vt:i4>
      </vt:variant>
      <vt:variant>
        <vt:i4>9</vt:i4>
      </vt:variant>
      <vt:variant>
        <vt:i4>0</vt:i4>
      </vt:variant>
      <vt:variant>
        <vt:i4>5</vt:i4>
      </vt:variant>
      <vt:variant>
        <vt:lpwstr>https://www.climatechangeauthority.gov.au/annual-progress-report</vt:lpwstr>
      </vt:variant>
      <vt:variant>
        <vt:lpwstr/>
      </vt:variant>
      <vt:variant>
        <vt:i4>2883643</vt:i4>
      </vt:variant>
      <vt:variant>
        <vt:i4>6</vt:i4>
      </vt:variant>
      <vt:variant>
        <vt:i4>0</vt:i4>
      </vt:variant>
      <vt:variant>
        <vt:i4>5</vt:i4>
      </vt:variant>
      <vt:variant>
        <vt:lpwstr>https://cer.gov.au/schemes/national-greenhouse-and-energy-reporting-scheme</vt:lpwstr>
      </vt:variant>
      <vt:variant>
        <vt:lpwstr/>
      </vt:variant>
      <vt:variant>
        <vt:i4>7798908</vt:i4>
      </vt:variant>
      <vt:variant>
        <vt:i4>3</vt:i4>
      </vt:variant>
      <vt:variant>
        <vt:i4>0</vt:i4>
      </vt:variant>
      <vt:variant>
        <vt:i4>5</vt:i4>
      </vt:variant>
      <vt:variant>
        <vt:lpwstr>https://cer.gov.au/schemes/safeguard-mechanism</vt:lpwstr>
      </vt:variant>
      <vt:variant>
        <vt:lpwstr/>
      </vt:variant>
      <vt:variant>
        <vt:i4>6094876</vt:i4>
      </vt:variant>
      <vt:variant>
        <vt:i4>0</vt:i4>
      </vt:variant>
      <vt:variant>
        <vt:i4>0</vt:i4>
      </vt:variant>
      <vt:variant>
        <vt:i4>5</vt:i4>
      </vt:variant>
      <vt:variant>
        <vt:lpwstr>https://cer.gov.au/schemes/safeguard-mechanism/managing-excess-emissions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safeguard preliminary insights</dc:title>
  <dc:subject/>
  <dc:creator/>
  <cp:keywords/>
  <cp:lastModifiedBy/>
  <cp:revision>1</cp:revision>
  <dcterms:created xsi:type="dcterms:W3CDTF">2025-11-26T23:00:00Z</dcterms:created>
  <dcterms:modified xsi:type="dcterms:W3CDTF">2025-11-27T02:13:00Z</dcterms:modified>
</cp:coreProperties>
</file>