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1AE45" w14:textId="59F22044" w:rsidR="006B67E4" w:rsidRDefault="008E4DB1" w:rsidP="00521016">
      <w:pPr>
        <w:pStyle w:val="CERcovertitle"/>
        <w:rPr>
          <w:rFonts w:asciiTheme="minorHAnsi" w:hAnsiTheme="minorHAnsi"/>
        </w:rPr>
      </w:pPr>
      <w:r w:rsidRPr="00E12286">
        <w:rPr>
          <w:rFonts w:asciiTheme="minorHAnsi" w:hAnsiTheme="minorHAnsi"/>
        </w:rPr>
        <mc:AlternateContent>
          <mc:Choice Requires="wps">
            <w:drawing>
              <wp:anchor distT="0" distB="0" distL="114300" distR="114300" simplePos="0" relativeHeight="251658240" behindDoc="0" locked="0" layoutInCell="1" allowOverlap="1" wp14:anchorId="3617C0D8" wp14:editId="18FC9915">
                <wp:simplePos x="0" y="0"/>
                <wp:positionH relativeFrom="margin">
                  <wp:posOffset>4641850</wp:posOffset>
                </wp:positionH>
                <wp:positionV relativeFrom="paragraph">
                  <wp:posOffset>641985</wp:posOffset>
                </wp:positionV>
                <wp:extent cx="1518920" cy="151892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2576D7A" id="Freeform 2" o:spid="_x0000_s1026" alt="&quot;&quot;" style="position:absolute;margin-left:365.5pt;margin-top:50.55pt;width:119.6pt;height:119.6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" path="m5125,4843r,-4562l4844,,250,,,281,,4843r250,281l4844,5124r281,-281e" fillcolor="#fcba5c [3205]" strokecolor="#fcba5c [3205]">
                <v:path o:connecttype="custom" o:connectlocs="1518624,1435342;1518624,83281;1435359,0;74079,0;0,83281;0,1435342;74079,1518624;1435359,1518624;1518624,1435342" o:connectangles="0,0,0,0,0,0,0,0,0"/>
                <w10:wrap anchorx="margin"/>
              </v:shape>
            </w:pict>
          </mc:Fallback>
        </mc:AlternateContent>
      </w:r>
      <w:r w:rsidR="00BB5318" w:rsidRPr="00E12286">
        <w:rPr>
          <w:rFonts w:asciiTheme="minorHAnsi" w:hAnsiTheme="minorHAnsi"/>
        </w:rPr>
        <w:drawing>
          <wp:anchor distT="0" distB="0" distL="114300" distR="114300" simplePos="0" relativeHeight="251658241" behindDoc="0" locked="0" layoutInCell="1" allowOverlap="1" wp14:anchorId="21789512" wp14:editId="7C795069">
            <wp:simplePos x="0" y="0"/>
            <wp:positionH relativeFrom="margin">
              <wp:posOffset>-6350</wp:posOffset>
            </wp:positionH>
            <wp:positionV relativeFrom="paragraph">
              <wp:posOffset>2188845</wp:posOffset>
            </wp:positionV>
            <wp:extent cx="6189345" cy="4599940"/>
            <wp:effectExtent l="0" t="0" r="1905" b="0"/>
            <wp:wrapNone/>
            <wp:docPr id="36" name="Picture Placeholder 35">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9"/>
                    <a:stretch>
                      <a:fillRect/>
                    </a:stretch>
                  </pic:blipFill>
                  <pic:spPr>
                    <a:xfrm>
                      <a:off x="0" y="0"/>
                      <a:ext cx="6189345" cy="4599940"/>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H relativeFrom="margin">
              <wp14:pctWidth>0</wp14:pctWidth>
            </wp14:sizeRelH>
            <wp14:sizeRelV relativeFrom="margin">
              <wp14:pctHeight>0</wp14:pctHeight>
            </wp14:sizeRelV>
          </wp:anchor>
        </w:drawing>
      </w:r>
    </w:p>
    <w:p w14:paraId="358BF9C2" w14:textId="0C180EB3" w:rsidR="00977234" w:rsidRDefault="00025C66" w:rsidP="00521016">
      <w:pPr>
        <w:pStyle w:val="CERcovertitle"/>
      </w:pPr>
      <w:r>
        <w:rPr>
          <w:rFonts w:asciiTheme="minorHAnsi" w:hAnsiTheme="minorHAnsi"/>
        </w:rPr>
        <w:t>202</w:t>
      </w:r>
      <w:r w:rsidR="00AB2614">
        <w:rPr>
          <w:rFonts w:asciiTheme="minorHAnsi" w:hAnsiTheme="minorHAnsi"/>
        </w:rPr>
        <w:t>4</w:t>
      </w:r>
      <w:r>
        <w:rPr>
          <w:rFonts w:asciiTheme="minorHAnsi" w:hAnsiTheme="minorHAnsi"/>
        </w:rPr>
        <w:t>–2</w:t>
      </w:r>
      <w:r w:rsidR="00AB2614">
        <w:rPr>
          <w:rFonts w:asciiTheme="minorHAnsi" w:hAnsiTheme="minorHAnsi"/>
        </w:rPr>
        <w:t>5</w:t>
      </w:r>
      <w:r>
        <w:rPr>
          <w:rFonts w:asciiTheme="minorHAnsi" w:hAnsiTheme="minorHAnsi"/>
        </w:rPr>
        <w:t xml:space="preserve"> </w:t>
      </w:r>
      <w:r w:rsidR="004F7926">
        <w:rPr>
          <w:rFonts w:asciiTheme="minorHAnsi" w:hAnsiTheme="minorHAnsi"/>
        </w:rPr>
        <w:t>S</w:t>
      </w:r>
      <w:r>
        <w:rPr>
          <w:rFonts w:asciiTheme="minorHAnsi" w:hAnsiTheme="minorHAnsi"/>
        </w:rPr>
        <w:t>afeguard</w:t>
      </w:r>
      <w:r w:rsidR="004F7926">
        <w:rPr>
          <w:rFonts w:asciiTheme="minorHAnsi" w:hAnsiTheme="minorHAnsi"/>
        </w:rPr>
        <w:t xml:space="preserve"> Mechanism </w:t>
      </w:r>
      <w:r w:rsidR="00325A2A">
        <w:rPr>
          <w:rFonts w:asciiTheme="minorHAnsi" w:hAnsiTheme="minorHAnsi"/>
        </w:rPr>
        <w:t>d</w:t>
      </w:r>
      <w:r>
        <w:rPr>
          <w:rFonts w:asciiTheme="minorHAnsi" w:hAnsiTheme="minorHAnsi"/>
        </w:rPr>
        <w:t xml:space="preserve">ata </w:t>
      </w:r>
      <w:r w:rsidR="00325A2A">
        <w:rPr>
          <w:rFonts w:asciiTheme="minorHAnsi" w:hAnsiTheme="minorHAnsi"/>
        </w:rPr>
        <w:t>i</w:t>
      </w:r>
      <w:r>
        <w:rPr>
          <w:rFonts w:asciiTheme="minorHAnsi" w:hAnsiTheme="minorHAnsi"/>
        </w:rPr>
        <w:t>nsights</w:t>
      </w:r>
    </w:p>
    <w:p w14:paraId="4DCC4986" w14:textId="3A2729C6" w:rsidR="0021782A" w:rsidRPr="00531F3B" w:rsidRDefault="008E4DB1" w:rsidP="0021782A">
      <w:r w:rsidRPr="00E12286">
        <w:rPr>
          <w:noProof/>
        </w:rPr>
        <mc:AlternateContent>
          <mc:Choice Requires="wps">
            <w:drawing>
              <wp:anchor distT="0" distB="0" distL="114300" distR="114300" simplePos="0" relativeHeight="251658244" behindDoc="0" locked="0" layoutInCell="1" allowOverlap="1" wp14:anchorId="716AA0EA" wp14:editId="7EE53D48">
                <wp:simplePos x="0" y="0"/>
                <wp:positionH relativeFrom="column">
                  <wp:posOffset>3108325</wp:posOffset>
                </wp:positionH>
                <wp:positionV relativeFrom="paragraph">
                  <wp:posOffset>3333750</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33F5E28A" id="Freeform 4" o:spid="_x0000_s1026" alt="&quot;&quot;" style="position:absolute;margin-left:244.75pt;margin-top:262.5pt;width:119.6pt;height:119.6pt;z-index:2516582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Pr="00E12286">
        <w:rPr>
          <w:noProof/>
        </w:rPr>
        <mc:AlternateContent>
          <mc:Choice Requires="wps">
            <w:drawing>
              <wp:anchor distT="0" distB="0" distL="114300" distR="114300" simplePos="0" relativeHeight="251658243" behindDoc="0" locked="0" layoutInCell="1" allowOverlap="1" wp14:anchorId="11411FAC" wp14:editId="079875A0">
                <wp:simplePos x="0" y="0"/>
                <wp:positionH relativeFrom="column">
                  <wp:posOffset>4656455</wp:posOffset>
                </wp:positionH>
                <wp:positionV relativeFrom="paragraph">
                  <wp:posOffset>3333750</wp:posOffset>
                </wp:positionV>
                <wp:extent cx="1518920" cy="1515745"/>
                <wp:effectExtent l="0" t="0" r="5080" b="8255"/>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1CCFFF01" id="Freeform 4" o:spid="_x0000_s1026" alt="&quot;&quot;" style="position:absolute;margin-left:366.65pt;margin-top:262.5pt;width:119.6pt;height:119.35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003A5739" w:rsidRPr="00531F3B">
        <w:br w:type="page"/>
      </w:r>
    </w:p>
    <w:p w14:paraId="791637A8" w14:textId="77777777" w:rsidR="001374FD" w:rsidRDefault="002C702A">
      <w:pPr>
        <w:pStyle w:val="TOC1"/>
      </w:pPr>
      <w:bookmarkStart w:id="0" w:name="_Toc107311701"/>
      <w:r w:rsidRPr="00521016">
        <w:lastRenderedPageBreak/>
        <w:t>Contents</w:t>
      </w:r>
      <w:bookmarkEnd w:id="0"/>
    </w:p>
    <w:p w14:paraId="6053D76F" w14:textId="05F42383" w:rsidR="007262E3" w:rsidRDefault="00EB7F5F">
      <w:pPr>
        <w:pStyle w:val="TOC1"/>
        <w:rPr>
          <w:rFonts w:eastAsiaTheme="minorEastAsia" w:cstheme="minorBidi"/>
          <w:b w:val="0"/>
          <w:noProof/>
          <w:color w:val="auto"/>
          <w:kern w:val="2"/>
          <w:sz w:val="24"/>
          <w:lang w:eastAsia="en-AU"/>
          <w14:ligatures w14:val="standardContextual"/>
        </w:rPr>
      </w:pPr>
      <w:r w:rsidRPr="00CE1922">
        <w:rPr>
          <w:rFonts w:ascii="Calibri" w:hAnsi="Calibri" w:cs="Calibri"/>
          <w:bCs/>
          <w:kern w:val="32"/>
          <w:sz w:val="40"/>
        </w:rPr>
        <w:fldChar w:fldCharType="begin"/>
      </w:r>
      <w:r w:rsidRPr="00CE1922">
        <w:instrText xml:space="preserve"> TOC \o "1-3" \h \z \u </w:instrText>
      </w:r>
      <w:r w:rsidRPr="00CE1922">
        <w:rPr>
          <w:rFonts w:ascii="Calibri" w:hAnsi="Calibri" w:cs="Calibri"/>
          <w:bCs/>
          <w:kern w:val="32"/>
          <w:sz w:val="40"/>
        </w:rPr>
        <w:fldChar w:fldCharType="separate"/>
      </w:r>
      <w:hyperlink w:anchor="_Toc227062057" w:history="1">
        <w:r w:rsidR="007262E3" w:rsidRPr="005503DA">
          <w:rPr>
            <w:rStyle w:val="Hyperlink"/>
            <w:noProof/>
          </w:rPr>
          <w:t>2024–25 Safeguard Mechanism data highlights</w:t>
        </w:r>
        <w:r w:rsidR="007262E3">
          <w:rPr>
            <w:noProof/>
            <w:webHidden/>
          </w:rPr>
          <w:tab/>
        </w:r>
        <w:r w:rsidR="007262E3">
          <w:rPr>
            <w:noProof/>
            <w:webHidden/>
          </w:rPr>
          <w:fldChar w:fldCharType="begin"/>
        </w:r>
        <w:r w:rsidR="007262E3">
          <w:rPr>
            <w:noProof/>
            <w:webHidden/>
          </w:rPr>
          <w:instrText xml:space="preserve"> PAGEREF _Toc227062057 \h </w:instrText>
        </w:r>
        <w:r w:rsidR="007262E3">
          <w:rPr>
            <w:noProof/>
            <w:webHidden/>
          </w:rPr>
        </w:r>
        <w:r w:rsidR="007262E3">
          <w:rPr>
            <w:noProof/>
            <w:webHidden/>
          </w:rPr>
          <w:fldChar w:fldCharType="separate"/>
        </w:r>
        <w:r w:rsidR="007262E3">
          <w:rPr>
            <w:noProof/>
            <w:webHidden/>
          </w:rPr>
          <w:t>3</w:t>
        </w:r>
        <w:r w:rsidR="007262E3">
          <w:rPr>
            <w:noProof/>
            <w:webHidden/>
          </w:rPr>
          <w:fldChar w:fldCharType="end"/>
        </w:r>
      </w:hyperlink>
    </w:p>
    <w:p w14:paraId="0B7CA780" w14:textId="49F2B9D9" w:rsidR="007262E3" w:rsidRDefault="007262E3">
      <w:pPr>
        <w:pStyle w:val="TOC1"/>
        <w:rPr>
          <w:rFonts w:eastAsiaTheme="minorEastAsia" w:cstheme="minorBidi"/>
          <w:b w:val="0"/>
          <w:noProof/>
          <w:color w:val="auto"/>
          <w:kern w:val="2"/>
          <w:sz w:val="24"/>
          <w:lang w:eastAsia="en-AU"/>
          <w14:ligatures w14:val="standardContextual"/>
        </w:rPr>
      </w:pPr>
      <w:hyperlink w:anchor="_Toc227062058" w:history="1">
        <w:r w:rsidRPr="005503DA">
          <w:rPr>
            <w:rStyle w:val="Hyperlink"/>
            <w:noProof/>
          </w:rPr>
          <w:t>Background</w:t>
        </w:r>
        <w:r>
          <w:rPr>
            <w:noProof/>
            <w:webHidden/>
          </w:rPr>
          <w:tab/>
        </w:r>
        <w:r>
          <w:rPr>
            <w:noProof/>
            <w:webHidden/>
          </w:rPr>
          <w:fldChar w:fldCharType="begin"/>
        </w:r>
        <w:r>
          <w:rPr>
            <w:noProof/>
            <w:webHidden/>
          </w:rPr>
          <w:instrText xml:space="preserve"> PAGEREF _Toc227062058 \h </w:instrText>
        </w:r>
        <w:r>
          <w:rPr>
            <w:noProof/>
            <w:webHidden/>
          </w:rPr>
        </w:r>
        <w:r>
          <w:rPr>
            <w:noProof/>
            <w:webHidden/>
          </w:rPr>
          <w:fldChar w:fldCharType="separate"/>
        </w:r>
        <w:r>
          <w:rPr>
            <w:noProof/>
            <w:webHidden/>
          </w:rPr>
          <w:t>5</w:t>
        </w:r>
        <w:r>
          <w:rPr>
            <w:noProof/>
            <w:webHidden/>
          </w:rPr>
          <w:fldChar w:fldCharType="end"/>
        </w:r>
      </w:hyperlink>
    </w:p>
    <w:p w14:paraId="48329BBD" w14:textId="7FACD6EE" w:rsidR="007262E3" w:rsidRDefault="007262E3">
      <w:pPr>
        <w:pStyle w:val="TOC2"/>
        <w:tabs>
          <w:tab w:val="right" w:leader="dot" w:pos="9730"/>
        </w:tabs>
        <w:rPr>
          <w:rFonts w:eastAsiaTheme="minorEastAsia" w:cstheme="minorBidi"/>
          <w:noProof/>
          <w:color w:val="auto"/>
          <w:kern w:val="2"/>
          <w:sz w:val="24"/>
          <w:lang w:eastAsia="en-AU"/>
          <w14:ligatures w14:val="standardContextual"/>
        </w:rPr>
      </w:pPr>
      <w:hyperlink w:anchor="_Toc227062059" w:history="1">
        <w:r w:rsidRPr="005503DA">
          <w:rPr>
            <w:rStyle w:val="Hyperlink"/>
            <w:noProof/>
          </w:rPr>
          <w:t>How the mechanism works</w:t>
        </w:r>
        <w:r>
          <w:rPr>
            <w:noProof/>
            <w:webHidden/>
          </w:rPr>
          <w:tab/>
        </w:r>
        <w:r>
          <w:rPr>
            <w:noProof/>
            <w:webHidden/>
          </w:rPr>
          <w:fldChar w:fldCharType="begin"/>
        </w:r>
        <w:r>
          <w:rPr>
            <w:noProof/>
            <w:webHidden/>
          </w:rPr>
          <w:instrText xml:space="preserve"> PAGEREF _Toc227062059 \h </w:instrText>
        </w:r>
        <w:r>
          <w:rPr>
            <w:noProof/>
            <w:webHidden/>
          </w:rPr>
        </w:r>
        <w:r>
          <w:rPr>
            <w:noProof/>
            <w:webHidden/>
          </w:rPr>
          <w:fldChar w:fldCharType="separate"/>
        </w:r>
        <w:r>
          <w:rPr>
            <w:noProof/>
            <w:webHidden/>
          </w:rPr>
          <w:t>5</w:t>
        </w:r>
        <w:r>
          <w:rPr>
            <w:noProof/>
            <w:webHidden/>
          </w:rPr>
          <w:fldChar w:fldCharType="end"/>
        </w:r>
      </w:hyperlink>
    </w:p>
    <w:p w14:paraId="588D6B04" w14:textId="3A0C791F" w:rsidR="007262E3" w:rsidRDefault="007262E3">
      <w:pPr>
        <w:pStyle w:val="TOC2"/>
        <w:tabs>
          <w:tab w:val="right" w:leader="dot" w:pos="9730"/>
        </w:tabs>
        <w:rPr>
          <w:rFonts w:eastAsiaTheme="minorEastAsia" w:cstheme="minorBidi"/>
          <w:noProof/>
          <w:color w:val="auto"/>
          <w:kern w:val="2"/>
          <w:sz w:val="24"/>
          <w:lang w:eastAsia="en-AU"/>
          <w14:ligatures w14:val="standardContextual"/>
        </w:rPr>
      </w:pPr>
      <w:hyperlink w:anchor="_Toc227062060" w:history="1">
        <w:r w:rsidRPr="005503DA">
          <w:rPr>
            <w:rStyle w:val="Hyperlink"/>
            <w:noProof/>
          </w:rPr>
          <w:t>Managing excess emissions</w:t>
        </w:r>
        <w:r>
          <w:rPr>
            <w:noProof/>
            <w:webHidden/>
          </w:rPr>
          <w:tab/>
        </w:r>
        <w:r>
          <w:rPr>
            <w:noProof/>
            <w:webHidden/>
          </w:rPr>
          <w:fldChar w:fldCharType="begin"/>
        </w:r>
        <w:r>
          <w:rPr>
            <w:noProof/>
            <w:webHidden/>
          </w:rPr>
          <w:instrText xml:space="preserve"> PAGEREF _Toc227062060 \h </w:instrText>
        </w:r>
        <w:r>
          <w:rPr>
            <w:noProof/>
            <w:webHidden/>
          </w:rPr>
        </w:r>
        <w:r>
          <w:rPr>
            <w:noProof/>
            <w:webHidden/>
          </w:rPr>
          <w:fldChar w:fldCharType="separate"/>
        </w:r>
        <w:r>
          <w:rPr>
            <w:noProof/>
            <w:webHidden/>
          </w:rPr>
          <w:t>5</w:t>
        </w:r>
        <w:r>
          <w:rPr>
            <w:noProof/>
            <w:webHidden/>
          </w:rPr>
          <w:fldChar w:fldCharType="end"/>
        </w:r>
      </w:hyperlink>
    </w:p>
    <w:p w14:paraId="444F4BA0" w14:textId="1ADE6A2E" w:rsidR="007262E3" w:rsidRDefault="007262E3">
      <w:pPr>
        <w:pStyle w:val="TOC3"/>
        <w:rPr>
          <w:rFonts w:eastAsiaTheme="minorEastAsia" w:cstheme="minorBidi"/>
          <w:noProof/>
          <w:color w:val="auto"/>
          <w:kern w:val="2"/>
          <w:sz w:val="24"/>
          <w:lang w:eastAsia="en-AU"/>
          <w14:ligatures w14:val="standardContextual"/>
        </w:rPr>
      </w:pPr>
      <w:hyperlink w:anchor="_Toc227062061" w:history="1">
        <w:r w:rsidRPr="005503DA">
          <w:rPr>
            <w:rStyle w:val="Hyperlink"/>
            <w:noProof/>
          </w:rPr>
          <w:t>ACCUs and SMCs</w:t>
        </w:r>
        <w:r>
          <w:rPr>
            <w:noProof/>
            <w:webHidden/>
          </w:rPr>
          <w:tab/>
        </w:r>
        <w:r>
          <w:rPr>
            <w:noProof/>
            <w:webHidden/>
          </w:rPr>
          <w:fldChar w:fldCharType="begin"/>
        </w:r>
        <w:r>
          <w:rPr>
            <w:noProof/>
            <w:webHidden/>
          </w:rPr>
          <w:instrText xml:space="preserve"> PAGEREF _Toc227062061 \h </w:instrText>
        </w:r>
        <w:r>
          <w:rPr>
            <w:noProof/>
            <w:webHidden/>
          </w:rPr>
        </w:r>
        <w:r>
          <w:rPr>
            <w:noProof/>
            <w:webHidden/>
          </w:rPr>
          <w:fldChar w:fldCharType="separate"/>
        </w:r>
        <w:r>
          <w:rPr>
            <w:noProof/>
            <w:webHidden/>
          </w:rPr>
          <w:t>5</w:t>
        </w:r>
        <w:r>
          <w:rPr>
            <w:noProof/>
            <w:webHidden/>
          </w:rPr>
          <w:fldChar w:fldCharType="end"/>
        </w:r>
      </w:hyperlink>
    </w:p>
    <w:p w14:paraId="3115046E" w14:textId="3C29DAAC" w:rsidR="007262E3" w:rsidRDefault="007262E3">
      <w:pPr>
        <w:pStyle w:val="TOC3"/>
        <w:rPr>
          <w:rFonts w:eastAsiaTheme="minorEastAsia" w:cstheme="minorBidi"/>
          <w:noProof/>
          <w:color w:val="auto"/>
          <w:kern w:val="2"/>
          <w:sz w:val="24"/>
          <w:lang w:eastAsia="en-AU"/>
          <w14:ligatures w14:val="standardContextual"/>
        </w:rPr>
      </w:pPr>
      <w:hyperlink w:anchor="_Toc227062062" w:history="1">
        <w:r w:rsidRPr="005503DA">
          <w:rPr>
            <w:rStyle w:val="Hyperlink"/>
            <w:noProof/>
          </w:rPr>
          <w:t>Flexibility measures</w:t>
        </w:r>
        <w:r>
          <w:rPr>
            <w:noProof/>
            <w:webHidden/>
          </w:rPr>
          <w:tab/>
        </w:r>
        <w:r>
          <w:rPr>
            <w:noProof/>
            <w:webHidden/>
          </w:rPr>
          <w:fldChar w:fldCharType="begin"/>
        </w:r>
        <w:r>
          <w:rPr>
            <w:noProof/>
            <w:webHidden/>
          </w:rPr>
          <w:instrText xml:space="preserve"> PAGEREF _Toc227062062 \h </w:instrText>
        </w:r>
        <w:r>
          <w:rPr>
            <w:noProof/>
            <w:webHidden/>
          </w:rPr>
        </w:r>
        <w:r>
          <w:rPr>
            <w:noProof/>
            <w:webHidden/>
          </w:rPr>
          <w:fldChar w:fldCharType="separate"/>
        </w:r>
        <w:r>
          <w:rPr>
            <w:noProof/>
            <w:webHidden/>
          </w:rPr>
          <w:t>6</w:t>
        </w:r>
        <w:r>
          <w:rPr>
            <w:noProof/>
            <w:webHidden/>
          </w:rPr>
          <w:fldChar w:fldCharType="end"/>
        </w:r>
      </w:hyperlink>
    </w:p>
    <w:p w14:paraId="0E57B87F" w14:textId="7A6DC5D1" w:rsidR="007262E3" w:rsidRDefault="007262E3">
      <w:pPr>
        <w:pStyle w:val="TOC2"/>
        <w:tabs>
          <w:tab w:val="right" w:leader="dot" w:pos="9730"/>
        </w:tabs>
        <w:rPr>
          <w:rFonts w:eastAsiaTheme="minorEastAsia" w:cstheme="minorBidi"/>
          <w:noProof/>
          <w:color w:val="auto"/>
          <w:kern w:val="2"/>
          <w:sz w:val="24"/>
          <w:lang w:eastAsia="en-AU"/>
          <w14:ligatures w14:val="standardContextual"/>
        </w:rPr>
      </w:pPr>
      <w:hyperlink w:anchor="_Toc227062063" w:history="1">
        <w:r w:rsidRPr="005503DA">
          <w:rPr>
            <w:rStyle w:val="Hyperlink"/>
            <w:noProof/>
          </w:rPr>
          <w:t>Compliance and enforcement</w:t>
        </w:r>
        <w:r>
          <w:rPr>
            <w:noProof/>
            <w:webHidden/>
          </w:rPr>
          <w:tab/>
        </w:r>
        <w:r>
          <w:rPr>
            <w:noProof/>
            <w:webHidden/>
          </w:rPr>
          <w:fldChar w:fldCharType="begin"/>
        </w:r>
        <w:r>
          <w:rPr>
            <w:noProof/>
            <w:webHidden/>
          </w:rPr>
          <w:instrText xml:space="preserve"> PAGEREF _Toc227062063 \h </w:instrText>
        </w:r>
        <w:r>
          <w:rPr>
            <w:noProof/>
            <w:webHidden/>
          </w:rPr>
        </w:r>
        <w:r>
          <w:rPr>
            <w:noProof/>
            <w:webHidden/>
          </w:rPr>
          <w:fldChar w:fldCharType="separate"/>
        </w:r>
        <w:r>
          <w:rPr>
            <w:noProof/>
            <w:webHidden/>
          </w:rPr>
          <w:t>6</w:t>
        </w:r>
        <w:r>
          <w:rPr>
            <w:noProof/>
            <w:webHidden/>
          </w:rPr>
          <w:fldChar w:fldCharType="end"/>
        </w:r>
      </w:hyperlink>
    </w:p>
    <w:p w14:paraId="564D8D05" w14:textId="318E3677" w:rsidR="007262E3" w:rsidRDefault="007262E3">
      <w:pPr>
        <w:pStyle w:val="TOC2"/>
        <w:tabs>
          <w:tab w:val="right" w:leader="dot" w:pos="9730"/>
        </w:tabs>
        <w:rPr>
          <w:rFonts w:eastAsiaTheme="minorEastAsia" w:cstheme="minorBidi"/>
          <w:noProof/>
          <w:color w:val="auto"/>
          <w:kern w:val="2"/>
          <w:sz w:val="24"/>
          <w:lang w:eastAsia="en-AU"/>
          <w14:ligatures w14:val="standardContextual"/>
        </w:rPr>
      </w:pPr>
      <w:hyperlink w:anchor="_Toc227062064" w:history="1">
        <w:r w:rsidRPr="005503DA">
          <w:rPr>
            <w:rStyle w:val="Hyperlink"/>
            <w:noProof/>
          </w:rPr>
          <w:t>Upcoming scheme review</w:t>
        </w:r>
        <w:r>
          <w:rPr>
            <w:noProof/>
            <w:webHidden/>
          </w:rPr>
          <w:tab/>
        </w:r>
        <w:r>
          <w:rPr>
            <w:noProof/>
            <w:webHidden/>
          </w:rPr>
          <w:fldChar w:fldCharType="begin"/>
        </w:r>
        <w:r>
          <w:rPr>
            <w:noProof/>
            <w:webHidden/>
          </w:rPr>
          <w:instrText xml:space="preserve"> PAGEREF _Toc227062064 \h </w:instrText>
        </w:r>
        <w:r>
          <w:rPr>
            <w:noProof/>
            <w:webHidden/>
          </w:rPr>
        </w:r>
        <w:r>
          <w:rPr>
            <w:noProof/>
            <w:webHidden/>
          </w:rPr>
          <w:fldChar w:fldCharType="separate"/>
        </w:r>
        <w:r>
          <w:rPr>
            <w:noProof/>
            <w:webHidden/>
          </w:rPr>
          <w:t>6</w:t>
        </w:r>
        <w:r>
          <w:rPr>
            <w:noProof/>
            <w:webHidden/>
          </w:rPr>
          <w:fldChar w:fldCharType="end"/>
        </w:r>
      </w:hyperlink>
    </w:p>
    <w:p w14:paraId="7827CB16" w14:textId="343117A7" w:rsidR="007262E3" w:rsidRDefault="007262E3">
      <w:pPr>
        <w:pStyle w:val="TOC1"/>
        <w:rPr>
          <w:rFonts w:eastAsiaTheme="minorEastAsia" w:cstheme="minorBidi"/>
          <w:b w:val="0"/>
          <w:noProof/>
          <w:color w:val="auto"/>
          <w:kern w:val="2"/>
          <w:sz w:val="24"/>
          <w:lang w:eastAsia="en-AU"/>
          <w14:ligatures w14:val="standardContextual"/>
        </w:rPr>
      </w:pPr>
      <w:hyperlink w:anchor="_Toc227062065" w:history="1">
        <w:r w:rsidRPr="005503DA">
          <w:rPr>
            <w:rStyle w:val="Hyperlink"/>
            <w:noProof/>
          </w:rPr>
          <w:t>2024–25 Safeguard Mechanism data trends</w:t>
        </w:r>
        <w:r>
          <w:rPr>
            <w:noProof/>
            <w:webHidden/>
          </w:rPr>
          <w:tab/>
        </w:r>
        <w:r>
          <w:rPr>
            <w:noProof/>
            <w:webHidden/>
          </w:rPr>
          <w:fldChar w:fldCharType="begin"/>
        </w:r>
        <w:r>
          <w:rPr>
            <w:noProof/>
            <w:webHidden/>
          </w:rPr>
          <w:instrText xml:space="preserve"> PAGEREF _Toc227062065 \h </w:instrText>
        </w:r>
        <w:r>
          <w:rPr>
            <w:noProof/>
            <w:webHidden/>
          </w:rPr>
        </w:r>
        <w:r>
          <w:rPr>
            <w:noProof/>
            <w:webHidden/>
          </w:rPr>
          <w:fldChar w:fldCharType="separate"/>
        </w:r>
        <w:r>
          <w:rPr>
            <w:noProof/>
            <w:webHidden/>
          </w:rPr>
          <w:t>7</w:t>
        </w:r>
        <w:r>
          <w:rPr>
            <w:noProof/>
            <w:webHidden/>
          </w:rPr>
          <w:fldChar w:fldCharType="end"/>
        </w:r>
      </w:hyperlink>
    </w:p>
    <w:p w14:paraId="29A6F5C4" w14:textId="750845AB" w:rsidR="007262E3" w:rsidRDefault="007262E3">
      <w:pPr>
        <w:pStyle w:val="TOC2"/>
        <w:tabs>
          <w:tab w:val="right" w:leader="dot" w:pos="9730"/>
        </w:tabs>
        <w:rPr>
          <w:rFonts w:eastAsiaTheme="minorEastAsia" w:cstheme="minorBidi"/>
          <w:noProof/>
          <w:color w:val="auto"/>
          <w:kern w:val="2"/>
          <w:sz w:val="24"/>
          <w:lang w:eastAsia="en-AU"/>
          <w14:ligatures w14:val="standardContextual"/>
        </w:rPr>
      </w:pPr>
      <w:hyperlink w:anchor="_Toc227062066" w:history="1">
        <w:r w:rsidRPr="005503DA">
          <w:rPr>
            <w:rStyle w:val="Hyperlink"/>
            <w:noProof/>
          </w:rPr>
          <w:t>The mechanism continues to work as expected</w:t>
        </w:r>
        <w:r>
          <w:rPr>
            <w:noProof/>
            <w:webHidden/>
          </w:rPr>
          <w:tab/>
        </w:r>
        <w:r>
          <w:rPr>
            <w:noProof/>
            <w:webHidden/>
          </w:rPr>
          <w:fldChar w:fldCharType="begin"/>
        </w:r>
        <w:r>
          <w:rPr>
            <w:noProof/>
            <w:webHidden/>
          </w:rPr>
          <w:instrText xml:space="preserve"> PAGEREF _Toc227062066 \h </w:instrText>
        </w:r>
        <w:r>
          <w:rPr>
            <w:noProof/>
            <w:webHidden/>
          </w:rPr>
        </w:r>
        <w:r>
          <w:rPr>
            <w:noProof/>
            <w:webHidden/>
          </w:rPr>
          <w:fldChar w:fldCharType="separate"/>
        </w:r>
        <w:r>
          <w:rPr>
            <w:noProof/>
            <w:webHidden/>
          </w:rPr>
          <w:t>7</w:t>
        </w:r>
        <w:r>
          <w:rPr>
            <w:noProof/>
            <w:webHidden/>
          </w:rPr>
          <w:fldChar w:fldCharType="end"/>
        </w:r>
      </w:hyperlink>
    </w:p>
    <w:p w14:paraId="052F33E7" w14:textId="2B81C3CC" w:rsidR="007262E3" w:rsidRDefault="007262E3">
      <w:pPr>
        <w:pStyle w:val="TOC2"/>
        <w:tabs>
          <w:tab w:val="right" w:leader="dot" w:pos="9730"/>
        </w:tabs>
        <w:rPr>
          <w:rFonts w:eastAsiaTheme="minorEastAsia" w:cstheme="minorBidi"/>
          <w:noProof/>
          <w:color w:val="auto"/>
          <w:kern w:val="2"/>
          <w:sz w:val="24"/>
          <w:lang w:eastAsia="en-AU"/>
          <w14:ligatures w14:val="standardContextual"/>
        </w:rPr>
      </w:pPr>
      <w:hyperlink w:anchor="_Toc227062067" w:history="1">
        <w:r w:rsidRPr="005503DA">
          <w:rPr>
            <w:rStyle w:val="Hyperlink"/>
            <w:noProof/>
          </w:rPr>
          <w:t>Compliance remains high</w:t>
        </w:r>
        <w:r>
          <w:rPr>
            <w:noProof/>
            <w:webHidden/>
          </w:rPr>
          <w:tab/>
        </w:r>
        <w:r>
          <w:rPr>
            <w:noProof/>
            <w:webHidden/>
          </w:rPr>
          <w:fldChar w:fldCharType="begin"/>
        </w:r>
        <w:r>
          <w:rPr>
            <w:noProof/>
            <w:webHidden/>
          </w:rPr>
          <w:instrText xml:space="preserve"> PAGEREF _Toc227062067 \h </w:instrText>
        </w:r>
        <w:r>
          <w:rPr>
            <w:noProof/>
            <w:webHidden/>
          </w:rPr>
        </w:r>
        <w:r>
          <w:rPr>
            <w:noProof/>
            <w:webHidden/>
          </w:rPr>
          <w:fldChar w:fldCharType="separate"/>
        </w:r>
        <w:r>
          <w:rPr>
            <w:noProof/>
            <w:webHidden/>
          </w:rPr>
          <w:t>7</w:t>
        </w:r>
        <w:r>
          <w:rPr>
            <w:noProof/>
            <w:webHidden/>
          </w:rPr>
          <w:fldChar w:fldCharType="end"/>
        </w:r>
      </w:hyperlink>
    </w:p>
    <w:p w14:paraId="7EE6D445" w14:textId="5CA9ED5B" w:rsidR="007262E3" w:rsidRDefault="007262E3">
      <w:pPr>
        <w:pStyle w:val="TOC2"/>
        <w:tabs>
          <w:tab w:val="right" w:leader="dot" w:pos="9730"/>
        </w:tabs>
        <w:rPr>
          <w:rFonts w:eastAsiaTheme="minorEastAsia" w:cstheme="minorBidi"/>
          <w:noProof/>
          <w:color w:val="auto"/>
          <w:kern w:val="2"/>
          <w:sz w:val="24"/>
          <w:lang w:eastAsia="en-AU"/>
          <w14:ligatures w14:val="standardContextual"/>
        </w:rPr>
      </w:pPr>
      <w:hyperlink w:anchor="_Toc227062068" w:history="1">
        <w:r w:rsidRPr="005503DA">
          <w:rPr>
            <w:rStyle w:val="Hyperlink"/>
            <w:noProof/>
          </w:rPr>
          <w:t>Declining baselines maintain downward pressure on emissions</w:t>
        </w:r>
        <w:r>
          <w:rPr>
            <w:noProof/>
            <w:webHidden/>
          </w:rPr>
          <w:tab/>
        </w:r>
        <w:r>
          <w:rPr>
            <w:noProof/>
            <w:webHidden/>
          </w:rPr>
          <w:fldChar w:fldCharType="begin"/>
        </w:r>
        <w:r>
          <w:rPr>
            <w:noProof/>
            <w:webHidden/>
          </w:rPr>
          <w:instrText xml:space="preserve"> PAGEREF _Toc227062068 \h </w:instrText>
        </w:r>
        <w:r>
          <w:rPr>
            <w:noProof/>
            <w:webHidden/>
          </w:rPr>
        </w:r>
        <w:r>
          <w:rPr>
            <w:noProof/>
            <w:webHidden/>
          </w:rPr>
          <w:fldChar w:fldCharType="separate"/>
        </w:r>
        <w:r>
          <w:rPr>
            <w:noProof/>
            <w:webHidden/>
          </w:rPr>
          <w:t>7</w:t>
        </w:r>
        <w:r>
          <w:rPr>
            <w:noProof/>
            <w:webHidden/>
          </w:rPr>
          <w:fldChar w:fldCharType="end"/>
        </w:r>
      </w:hyperlink>
    </w:p>
    <w:p w14:paraId="786A5379" w14:textId="6D15ADA5" w:rsidR="007262E3" w:rsidRDefault="007262E3">
      <w:pPr>
        <w:pStyle w:val="TOC2"/>
        <w:tabs>
          <w:tab w:val="right" w:leader="dot" w:pos="9730"/>
        </w:tabs>
        <w:rPr>
          <w:rFonts w:eastAsiaTheme="minorEastAsia" w:cstheme="minorBidi"/>
          <w:noProof/>
          <w:color w:val="auto"/>
          <w:kern w:val="2"/>
          <w:sz w:val="24"/>
          <w:lang w:eastAsia="en-AU"/>
          <w14:ligatures w14:val="standardContextual"/>
        </w:rPr>
      </w:pPr>
      <w:hyperlink w:anchor="_Toc227062069" w:history="1">
        <w:r w:rsidRPr="005503DA">
          <w:rPr>
            <w:rStyle w:val="Hyperlink"/>
            <w:noProof/>
          </w:rPr>
          <w:t>Covered emissions by sector</w:t>
        </w:r>
        <w:r>
          <w:rPr>
            <w:noProof/>
            <w:webHidden/>
          </w:rPr>
          <w:tab/>
        </w:r>
        <w:r>
          <w:rPr>
            <w:noProof/>
            <w:webHidden/>
          </w:rPr>
          <w:fldChar w:fldCharType="begin"/>
        </w:r>
        <w:r>
          <w:rPr>
            <w:noProof/>
            <w:webHidden/>
          </w:rPr>
          <w:instrText xml:space="preserve"> PAGEREF _Toc227062069 \h </w:instrText>
        </w:r>
        <w:r>
          <w:rPr>
            <w:noProof/>
            <w:webHidden/>
          </w:rPr>
        </w:r>
        <w:r>
          <w:rPr>
            <w:noProof/>
            <w:webHidden/>
          </w:rPr>
          <w:fldChar w:fldCharType="separate"/>
        </w:r>
        <w:r>
          <w:rPr>
            <w:noProof/>
            <w:webHidden/>
          </w:rPr>
          <w:t>9</w:t>
        </w:r>
        <w:r>
          <w:rPr>
            <w:noProof/>
            <w:webHidden/>
          </w:rPr>
          <w:fldChar w:fldCharType="end"/>
        </w:r>
      </w:hyperlink>
    </w:p>
    <w:p w14:paraId="22114544" w14:textId="46D0F5D9" w:rsidR="007262E3" w:rsidRDefault="007262E3">
      <w:pPr>
        <w:pStyle w:val="TOC2"/>
        <w:tabs>
          <w:tab w:val="right" w:leader="dot" w:pos="9730"/>
        </w:tabs>
        <w:rPr>
          <w:rFonts w:eastAsiaTheme="minorEastAsia" w:cstheme="minorBidi"/>
          <w:noProof/>
          <w:color w:val="auto"/>
          <w:kern w:val="2"/>
          <w:sz w:val="24"/>
          <w:lang w:eastAsia="en-AU"/>
          <w14:ligatures w14:val="standardContextual"/>
        </w:rPr>
      </w:pPr>
      <w:hyperlink w:anchor="_Toc227062070" w:history="1">
        <w:r w:rsidRPr="005503DA">
          <w:rPr>
            <w:rStyle w:val="Hyperlink"/>
            <w:noProof/>
          </w:rPr>
          <w:t>Unit surrenders</w:t>
        </w:r>
        <w:r>
          <w:rPr>
            <w:noProof/>
            <w:webHidden/>
          </w:rPr>
          <w:tab/>
        </w:r>
        <w:r>
          <w:rPr>
            <w:noProof/>
            <w:webHidden/>
          </w:rPr>
          <w:fldChar w:fldCharType="begin"/>
        </w:r>
        <w:r>
          <w:rPr>
            <w:noProof/>
            <w:webHidden/>
          </w:rPr>
          <w:instrText xml:space="preserve"> PAGEREF _Toc227062070 \h </w:instrText>
        </w:r>
        <w:r>
          <w:rPr>
            <w:noProof/>
            <w:webHidden/>
          </w:rPr>
        </w:r>
        <w:r>
          <w:rPr>
            <w:noProof/>
            <w:webHidden/>
          </w:rPr>
          <w:fldChar w:fldCharType="separate"/>
        </w:r>
        <w:r>
          <w:rPr>
            <w:noProof/>
            <w:webHidden/>
          </w:rPr>
          <w:t>10</w:t>
        </w:r>
        <w:r>
          <w:rPr>
            <w:noProof/>
            <w:webHidden/>
          </w:rPr>
          <w:fldChar w:fldCharType="end"/>
        </w:r>
      </w:hyperlink>
    </w:p>
    <w:p w14:paraId="0B9B025F" w14:textId="62F3FF38" w:rsidR="007262E3" w:rsidRDefault="007262E3">
      <w:pPr>
        <w:pStyle w:val="TOC2"/>
        <w:tabs>
          <w:tab w:val="right" w:leader="dot" w:pos="9730"/>
        </w:tabs>
        <w:rPr>
          <w:rFonts w:eastAsiaTheme="minorEastAsia" w:cstheme="minorBidi"/>
          <w:noProof/>
          <w:color w:val="auto"/>
          <w:kern w:val="2"/>
          <w:sz w:val="24"/>
          <w:lang w:eastAsia="en-AU"/>
          <w14:ligatures w14:val="standardContextual"/>
        </w:rPr>
      </w:pPr>
      <w:hyperlink w:anchor="_Toc227062071" w:history="1">
        <w:r w:rsidRPr="005503DA">
          <w:rPr>
            <w:rStyle w:val="Hyperlink"/>
            <w:noProof/>
          </w:rPr>
          <w:t>Use of flexibility measures</w:t>
        </w:r>
        <w:r>
          <w:rPr>
            <w:noProof/>
            <w:webHidden/>
          </w:rPr>
          <w:tab/>
        </w:r>
        <w:r>
          <w:rPr>
            <w:noProof/>
            <w:webHidden/>
          </w:rPr>
          <w:fldChar w:fldCharType="begin"/>
        </w:r>
        <w:r>
          <w:rPr>
            <w:noProof/>
            <w:webHidden/>
          </w:rPr>
          <w:instrText xml:space="preserve"> PAGEREF _Toc227062071 \h </w:instrText>
        </w:r>
        <w:r>
          <w:rPr>
            <w:noProof/>
            <w:webHidden/>
          </w:rPr>
        </w:r>
        <w:r>
          <w:rPr>
            <w:noProof/>
            <w:webHidden/>
          </w:rPr>
          <w:fldChar w:fldCharType="separate"/>
        </w:r>
        <w:r>
          <w:rPr>
            <w:noProof/>
            <w:webHidden/>
          </w:rPr>
          <w:t>12</w:t>
        </w:r>
        <w:r>
          <w:rPr>
            <w:noProof/>
            <w:webHidden/>
          </w:rPr>
          <w:fldChar w:fldCharType="end"/>
        </w:r>
      </w:hyperlink>
    </w:p>
    <w:p w14:paraId="54B6A09F" w14:textId="335925C2" w:rsidR="007262E3" w:rsidRDefault="007262E3">
      <w:pPr>
        <w:pStyle w:val="TOC1"/>
        <w:rPr>
          <w:rFonts w:eastAsiaTheme="minorEastAsia" w:cstheme="minorBidi"/>
          <w:b w:val="0"/>
          <w:noProof/>
          <w:color w:val="auto"/>
          <w:kern w:val="2"/>
          <w:sz w:val="24"/>
          <w:lang w:eastAsia="en-AU"/>
          <w14:ligatures w14:val="standardContextual"/>
        </w:rPr>
      </w:pPr>
      <w:hyperlink w:anchor="_Toc227062072" w:history="1">
        <w:r w:rsidRPr="005503DA">
          <w:rPr>
            <w:rStyle w:val="Hyperlink"/>
            <w:noProof/>
          </w:rPr>
          <w:t>Key issues beyond 2024–25</w:t>
        </w:r>
        <w:r>
          <w:rPr>
            <w:noProof/>
            <w:webHidden/>
          </w:rPr>
          <w:tab/>
        </w:r>
        <w:r>
          <w:rPr>
            <w:noProof/>
            <w:webHidden/>
          </w:rPr>
          <w:fldChar w:fldCharType="begin"/>
        </w:r>
        <w:r>
          <w:rPr>
            <w:noProof/>
            <w:webHidden/>
          </w:rPr>
          <w:instrText xml:space="preserve"> PAGEREF _Toc227062072 \h </w:instrText>
        </w:r>
        <w:r>
          <w:rPr>
            <w:noProof/>
            <w:webHidden/>
          </w:rPr>
        </w:r>
        <w:r>
          <w:rPr>
            <w:noProof/>
            <w:webHidden/>
          </w:rPr>
          <w:fldChar w:fldCharType="separate"/>
        </w:r>
        <w:r>
          <w:rPr>
            <w:noProof/>
            <w:webHidden/>
          </w:rPr>
          <w:t>13</w:t>
        </w:r>
        <w:r>
          <w:rPr>
            <w:noProof/>
            <w:webHidden/>
          </w:rPr>
          <w:fldChar w:fldCharType="end"/>
        </w:r>
      </w:hyperlink>
    </w:p>
    <w:p w14:paraId="7D3CD0BF" w14:textId="6D8B4B07" w:rsidR="007262E3" w:rsidRDefault="007262E3">
      <w:pPr>
        <w:pStyle w:val="TOC2"/>
        <w:tabs>
          <w:tab w:val="right" w:leader="dot" w:pos="9730"/>
        </w:tabs>
        <w:rPr>
          <w:rFonts w:eastAsiaTheme="minorEastAsia" w:cstheme="minorBidi"/>
          <w:noProof/>
          <w:color w:val="auto"/>
          <w:kern w:val="2"/>
          <w:sz w:val="24"/>
          <w:lang w:eastAsia="en-AU"/>
          <w14:ligatures w14:val="standardContextual"/>
        </w:rPr>
      </w:pPr>
      <w:hyperlink w:anchor="_Toc227062073" w:history="1">
        <w:r w:rsidRPr="005503DA">
          <w:rPr>
            <w:rStyle w:val="Hyperlink"/>
            <w:noProof/>
          </w:rPr>
          <w:t>Continued investment in decarbonisation is needed</w:t>
        </w:r>
        <w:r>
          <w:rPr>
            <w:noProof/>
            <w:webHidden/>
          </w:rPr>
          <w:tab/>
        </w:r>
        <w:r>
          <w:rPr>
            <w:noProof/>
            <w:webHidden/>
          </w:rPr>
          <w:fldChar w:fldCharType="begin"/>
        </w:r>
        <w:r>
          <w:rPr>
            <w:noProof/>
            <w:webHidden/>
          </w:rPr>
          <w:instrText xml:space="preserve"> PAGEREF _Toc227062073 \h </w:instrText>
        </w:r>
        <w:r>
          <w:rPr>
            <w:noProof/>
            <w:webHidden/>
          </w:rPr>
        </w:r>
        <w:r>
          <w:rPr>
            <w:noProof/>
            <w:webHidden/>
          </w:rPr>
          <w:fldChar w:fldCharType="separate"/>
        </w:r>
        <w:r>
          <w:rPr>
            <w:noProof/>
            <w:webHidden/>
          </w:rPr>
          <w:t>13</w:t>
        </w:r>
        <w:r>
          <w:rPr>
            <w:noProof/>
            <w:webHidden/>
          </w:rPr>
          <w:fldChar w:fldCharType="end"/>
        </w:r>
      </w:hyperlink>
    </w:p>
    <w:p w14:paraId="21211930" w14:textId="5141C1B9" w:rsidR="007262E3" w:rsidRDefault="007262E3">
      <w:pPr>
        <w:pStyle w:val="TOC3"/>
        <w:rPr>
          <w:rFonts w:eastAsiaTheme="minorEastAsia" w:cstheme="minorBidi"/>
          <w:noProof/>
          <w:color w:val="auto"/>
          <w:kern w:val="2"/>
          <w:sz w:val="24"/>
          <w:lang w:eastAsia="en-AU"/>
          <w14:ligatures w14:val="standardContextual"/>
        </w:rPr>
      </w:pPr>
      <w:hyperlink w:anchor="_Toc227062074" w:history="1">
        <w:r w:rsidRPr="005503DA">
          <w:rPr>
            <w:rStyle w:val="Hyperlink"/>
            <w:noProof/>
          </w:rPr>
          <w:t>Spotlight: decarbonisation technologies</w:t>
        </w:r>
        <w:r>
          <w:rPr>
            <w:noProof/>
            <w:webHidden/>
          </w:rPr>
          <w:tab/>
        </w:r>
        <w:r>
          <w:rPr>
            <w:noProof/>
            <w:webHidden/>
          </w:rPr>
          <w:fldChar w:fldCharType="begin"/>
        </w:r>
        <w:r>
          <w:rPr>
            <w:noProof/>
            <w:webHidden/>
          </w:rPr>
          <w:instrText xml:space="preserve"> PAGEREF _Toc227062074 \h </w:instrText>
        </w:r>
        <w:r>
          <w:rPr>
            <w:noProof/>
            <w:webHidden/>
          </w:rPr>
        </w:r>
        <w:r>
          <w:rPr>
            <w:noProof/>
            <w:webHidden/>
          </w:rPr>
          <w:fldChar w:fldCharType="separate"/>
        </w:r>
        <w:r>
          <w:rPr>
            <w:noProof/>
            <w:webHidden/>
          </w:rPr>
          <w:t>13</w:t>
        </w:r>
        <w:r>
          <w:rPr>
            <w:noProof/>
            <w:webHidden/>
          </w:rPr>
          <w:fldChar w:fldCharType="end"/>
        </w:r>
      </w:hyperlink>
    </w:p>
    <w:p w14:paraId="0DD00C33" w14:textId="5476BCA5" w:rsidR="007262E3" w:rsidRDefault="007262E3">
      <w:pPr>
        <w:pStyle w:val="TOC2"/>
        <w:tabs>
          <w:tab w:val="right" w:leader="dot" w:pos="9730"/>
        </w:tabs>
        <w:rPr>
          <w:rFonts w:eastAsiaTheme="minorEastAsia" w:cstheme="minorBidi"/>
          <w:noProof/>
          <w:color w:val="auto"/>
          <w:kern w:val="2"/>
          <w:sz w:val="24"/>
          <w:lang w:eastAsia="en-AU"/>
          <w14:ligatures w14:val="standardContextual"/>
        </w:rPr>
      </w:pPr>
      <w:hyperlink w:anchor="_Toc227062075" w:history="1">
        <w:r w:rsidRPr="005503DA">
          <w:rPr>
            <w:rStyle w:val="Hyperlink"/>
            <w:rFonts w:eastAsiaTheme="minorHAnsi"/>
            <w:noProof/>
          </w:rPr>
          <w:t>Conclusion: promising progress, but continued action is needed</w:t>
        </w:r>
        <w:r>
          <w:rPr>
            <w:noProof/>
            <w:webHidden/>
          </w:rPr>
          <w:tab/>
        </w:r>
        <w:r>
          <w:rPr>
            <w:noProof/>
            <w:webHidden/>
          </w:rPr>
          <w:fldChar w:fldCharType="begin"/>
        </w:r>
        <w:r>
          <w:rPr>
            <w:noProof/>
            <w:webHidden/>
          </w:rPr>
          <w:instrText xml:space="preserve"> PAGEREF _Toc227062075 \h </w:instrText>
        </w:r>
        <w:r>
          <w:rPr>
            <w:noProof/>
            <w:webHidden/>
          </w:rPr>
        </w:r>
        <w:r>
          <w:rPr>
            <w:noProof/>
            <w:webHidden/>
          </w:rPr>
          <w:fldChar w:fldCharType="separate"/>
        </w:r>
        <w:r>
          <w:rPr>
            <w:noProof/>
            <w:webHidden/>
          </w:rPr>
          <w:t>14</w:t>
        </w:r>
        <w:r>
          <w:rPr>
            <w:noProof/>
            <w:webHidden/>
          </w:rPr>
          <w:fldChar w:fldCharType="end"/>
        </w:r>
      </w:hyperlink>
    </w:p>
    <w:p w14:paraId="527DE228" w14:textId="0170B821" w:rsidR="00E12286" w:rsidRPr="007E56DD" w:rsidRDefault="00EB7F5F" w:rsidP="002C702A">
      <w:pPr>
        <w:rPr>
          <w:color w:val="auto"/>
        </w:rPr>
      </w:pPr>
      <w:r w:rsidRPr="00CE1922">
        <w:fldChar w:fldCharType="end"/>
      </w:r>
    </w:p>
    <w:p w14:paraId="4259F4EB" w14:textId="77777777" w:rsidR="002C702A" w:rsidRPr="007E56DD" w:rsidRDefault="002C702A" w:rsidP="002C702A">
      <w:pPr>
        <w:rPr>
          <w:color w:val="auto"/>
        </w:rPr>
      </w:pPr>
      <w:r w:rsidRPr="007E56DD">
        <w:rPr>
          <w:color w:val="auto"/>
        </w:rPr>
        <w:br w:type="page"/>
      </w:r>
    </w:p>
    <w:p w14:paraId="12999C65" w14:textId="77777777" w:rsidR="00025589" w:rsidRDefault="00025589" w:rsidP="00025589">
      <w:pPr>
        <w:pStyle w:val="Heading1"/>
        <w:spacing w:after="240"/>
        <w:rPr>
          <w:color w:val="auto"/>
        </w:rPr>
      </w:pPr>
      <w:bookmarkStart w:id="1" w:name="_Toc227062057"/>
      <w:bookmarkStart w:id="2" w:name="_Toc221806785"/>
      <w:r w:rsidRPr="00FF71DC">
        <w:rPr>
          <w:color w:val="auto"/>
        </w:rPr>
        <w:lastRenderedPageBreak/>
        <w:t>2024–25 Safeguard Mechanism data highlights</w:t>
      </w:r>
      <w:bookmarkEnd w:id="1"/>
    </w:p>
    <w:bookmarkEnd w:id="2"/>
    <w:p w14:paraId="4F42267C" w14:textId="31A8A1E8" w:rsidR="00025C66" w:rsidRPr="00025C66" w:rsidRDefault="00025C66" w:rsidP="00025C66">
      <w:r w:rsidRPr="00025C66">
        <w:t xml:space="preserve">The </w:t>
      </w:r>
      <w:r w:rsidR="00671EFB">
        <w:t xml:space="preserve">Safeguard Mechanism, </w:t>
      </w:r>
      <w:r w:rsidR="00A93067">
        <w:t>administered by the Clean Energy Regulator (</w:t>
      </w:r>
      <w:r w:rsidR="00A93067" w:rsidRPr="00FE7A91">
        <w:t>CER</w:t>
      </w:r>
      <w:r w:rsidR="00A93067">
        <w:t>)</w:t>
      </w:r>
      <w:r w:rsidR="00671EFB">
        <w:t xml:space="preserve">, </w:t>
      </w:r>
      <w:r w:rsidR="005E723C">
        <w:t>is designed to</w:t>
      </w:r>
      <w:r w:rsidRPr="00025C66">
        <w:t xml:space="preserve"> deliver </w:t>
      </w:r>
      <w:r w:rsidR="001568F3">
        <w:t xml:space="preserve">greenhouse gas </w:t>
      </w:r>
      <w:r w:rsidRPr="00025C66">
        <w:t xml:space="preserve">emissions reductions at Australia’s largest </w:t>
      </w:r>
      <w:r w:rsidR="001568F3">
        <w:t>emitting</w:t>
      </w:r>
      <w:r w:rsidRPr="00025C66">
        <w:t xml:space="preserve"> facilities on a trajectory consistent with achieving Australia’s </w:t>
      </w:r>
      <w:r w:rsidR="0081663F">
        <w:t>emissions reduction</w:t>
      </w:r>
      <w:r w:rsidR="0081663F" w:rsidRPr="00025C66">
        <w:t xml:space="preserve"> </w:t>
      </w:r>
      <w:r w:rsidRPr="00025C66">
        <w:t>targets of 43% below 2005 levels by 2030</w:t>
      </w:r>
      <w:r w:rsidR="00433D5B">
        <w:t>,</w:t>
      </w:r>
      <w:r w:rsidRPr="00025C66">
        <w:t xml:space="preserve"> and net zero by 2050. </w:t>
      </w:r>
    </w:p>
    <w:p w14:paraId="37CB4B33" w14:textId="31C3FC4B" w:rsidR="00025C66" w:rsidRPr="00025C66" w:rsidRDefault="00025C66" w:rsidP="00FE7A91">
      <w:pPr>
        <w:spacing w:after="0"/>
      </w:pPr>
      <w:r w:rsidRPr="00025C66">
        <w:t xml:space="preserve">To achieve this, </w:t>
      </w:r>
      <w:r w:rsidR="00BC77A2">
        <w:t xml:space="preserve">the </w:t>
      </w:r>
      <w:r w:rsidR="00463882">
        <w:t>scheme</w:t>
      </w:r>
      <w:r w:rsidR="00DE4C48">
        <w:t>’s objectives</w:t>
      </w:r>
      <w:r w:rsidR="00463882">
        <w:t xml:space="preserve"> </w:t>
      </w:r>
      <w:r w:rsidR="00812D56">
        <w:t xml:space="preserve">outline </w:t>
      </w:r>
      <w:r w:rsidRPr="00025C66">
        <w:t xml:space="preserve">net emissions from all </w:t>
      </w:r>
      <w:r w:rsidR="00EA22B1">
        <w:t>s</w:t>
      </w:r>
      <w:r w:rsidRPr="00025C66">
        <w:t>afeguard facilities should not exceed:</w:t>
      </w:r>
    </w:p>
    <w:p w14:paraId="0D10A970" w14:textId="181752CB" w:rsidR="00025C66" w:rsidRPr="00025C66" w:rsidRDefault="00025C66" w:rsidP="006E0638">
      <w:pPr>
        <w:pStyle w:val="CERbullets"/>
      </w:pPr>
      <w:r w:rsidRPr="00025C66">
        <w:t xml:space="preserve">100 </w:t>
      </w:r>
      <w:r w:rsidR="00C80E5D">
        <w:t>million tonnes carbon dioxide equivalent (</w:t>
      </w:r>
      <w:r w:rsidRPr="00B774C6">
        <w:t>Mt CO</w:t>
      </w:r>
      <w:r w:rsidR="005449C9" w:rsidRPr="00B774C6">
        <w:rPr>
          <w:vertAlign w:val="subscript"/>
        </w:rPr>
        <w:t>2</w:t>
      </w:r>
      <w:r w:rsidRPr="00B774C6">
        <w:t>-e</w:t>
      </w:r>
      <w:r w:rsidR="00C80E5D">
        <w:t>)</w:t>
      </w:r>
      <w:r w:rsidRPr="00025C66">
        <w:t xml:space="preserve"> in 2029</w:t>
      </w:r>
      <w:r w:rsidR="00EA22B1">
        <w:t>–</w:t>
      </w:r>
      <w:r w:rsidRPr="00025C66">
        <w:t>30</w:t>
      </w:r>
    </w:p>
    <w:p w14:paraId="5340F338" w14:textId="30F67896" w:rsidR="00025C66" w:rsidRPr="00025C66" w:rsidRDefault="00025C66" w:rsidP="006E0638">
      <w:pPr>
        <w:pStyle w:val="CERbullets"/>
      </w:pPr>
      <w:r w:rsidRPr="00025C66">
        <w:t xml:space="preserve">zero </w:t>
      </w:r>
      <w:r w:rsidR="000939AD">
        <w:t xml:space="preserve">tonnes </w:t>
      </w:r>
      <w:r w:rsidR="00D619B5">
        <w:t xml:space="preserve">carbon dioxide equivalent </w:t>
      </w:r>
      <w:r w:rsidR="000939AD">
        <w:t>(</w:t>
      </w:r>
      <w:r w:rsidRPr="00025C66">
        <w:t>tCO</w:t>
      </w:r>
      <w:r w:rsidR="0063068B" w:rsidRPr="006E0638">
        <w:rPr>
          <w:vertAlign w:val="subscript"/>
        </w:rPr>
        <w:t>2</w:t>
      </w:r>
      <w:r w:rsidRPr="00025C66">
        <w:t>-e</w:t>
      </w:r>
      <w:r w:rsidR="008B75F6">
        <w:t>)</w:t>
      </w:r>
      <w:r w:rsidRPr="00025C66">
        <w:t xml:space="preserve"> </w:t>
      </w:r>
      <w:r w:rsidR="005C50F8">
        <w:t xml:space="preserve">per year </w:t>
      </w:r>
      <w:r w:rsidRPr="00025C66">
        <w:t>from 2049</w:t>
      </w:r>
      <w:r w:rsidR="00EA22B1">
        <w:t>–</w:t>
      </w:r>
      <w:r w:rsidRPr="00025C66">
        <w:t>50</w:t>
      </w:r>
    </w:p>
    <w:p w14:paraId="220380BD" w14:textId="13BBD1A8" w:rsidR="006E0638" w:rsidRDefault="00025C66" w:rsidP="00025C66">
      <w:pPr>
        <w:pStyle w:val="CERbullets"/>
      </w:pPr>
      <w:r w:rsidRPr="00025C66">
        <w:t>1,233 Mt CO</w:t>
      </w:r>
      <w:r w:rsidR="0063068B" w:rsidRPr="006E0638">
        <w:rPr>
          <w:vertAlign w:val="subscript"/>
        </w:rPr>
        <w:t>2</w:t>
      </w:r>
      <w:r w:rsidRPr="00025C66">
        <w:t xml:space="preserve">-e in total over the decade from 1 July 2020 to 30 June 2030. </w:t>
      </w:r>
    </w:p>
    <w:p w14:paraId="56C01315" w14:textId="77777777" w:rsidR="00216FA0" w:rsidRDefault="00025C66" w:rsidP="0059720E">
      <w:pPr>
        <w:tabs>
          <w:tab w:val="left" w:pos="8475"/>
        </w:tabs>
      </w:pPr>
      <w:r w:rsidRPr="00025C66">
        <w:t xml:space="preserve">This will deliver over 200 million tonnes of abatement by the end of the decade. </w:t>
      </w:r>
    </w:p>
    <w:p w14:paraId="7190C95E" w14:textId="5AFF7EEA" w:rsidR="003C4357" w:rsidRDefault="007A65F0" w:rsidP="003C4357">
      <w:pPr>
        <w:rPr>
          <w:color w:val="auto"/>
        </w:rPr>
      </w:pPr>
      <w:r>
        <w:t>Over t</w:t>
      </w:r>
      <w:r w:rsidR="003C4357">
        <w:t>he</w:t>
      </w:r>
      <w:r w:rsidR="002B1FF1">
        <w:t xml:space="preserve"> </w:t>
      </w:r>
      <w:r>
        <w:t>2024</w:t>
      </w:r>
      <w:r w:rsidR="00A431F9">
        <w:t>–</w:t>
      </w:r>
      <w:r>
        <w:t>25 compliance period</w:t>
      </w:r>
      <w:r w:rsidR="009B1EBF">
        <w:t>,</w:t>
      </w:r>
      <w:r>
        <w:t xml:space="preserve"> the</w:t>
      </w:r>
      <w:r w:rsidR="003C4357">
        <w:t xml:space="preserve"> Safeguard Mechanism has operated consistent</w:t>
      </w:r>
      <w:r w:rsidR="005C54B2">
        <w:t>ly</w:t>
      </w:r>
      <w:r w:rsidR="003C4357">
        <w:t xml:space="preserve"> with the policy settings of government.</w:t>
      </w:r>
      <w:r w:rsidR="003C4357" w:rsidRPr="001B7ED2">
        <w:rPr>
          <w:color w:val="auto"/>
        </w:rPr>
        <w:t xml:space="preserve"> </w:t>
      </w:r>
    </w:p>
    <w:p w14:paraId="5A8A1954" w14:textId="4B691AF9" w:rsidR="003C4357" w:rsidRDefault="003C4357" w:rsidP="003C4357">
      <w:r>
        <w:t>Key outcomes from the 2024</w:t>
      </w:r>
      <w:r w:rsidR="00A431F9">
        <w:t>–</w:t>
      </w:r>
      <w:r>
        <w:t xml:space="preserve">25 compliance period are reported below. All numbers in this report are correct as </w:t>
      </w:r>
      <w:proofErr w:type="gramStart"/>
      <w:r>
        <w:t>at</w:t>
      </w:r>
      <w:proofErr w:type="gramEnd"/>
      <w:r>
        <w:t xml:space="preserve"> </w:t>
      </w:r>
      <w:r w:rsidR="00A0037E" w:rsidRPr="005A346A">
        <w:t>1</w:t>
      </w:r>
      <w:r w:rsidRPr="005A346A">
        <w:t xml:space="preserve"> April 2026</w:t>
      </w:r>
      <w:r>
        <w:t>. They may be subject to minor change due to resubmission of NGER reporting.</w:t>
      </w:r>
    </w:p>
    <w:tbl>
      <w:tblPr>
        <w:tblStyle w:val="CERCallout"/>
        <w:tblW w:w="5000" w:type="pct"/>
        <w:tblLook w:val="0600" w:firstRow="0" w:lastRow="0" w:firstColumn="0" w:lastColumn="0" w:noHBand="1" w:noVBand="1"/>
        <w:tblCaption w:val="test"/>
        <w:tblDescription w:val="tesst"/>
      </w:tblPr>
      <w:tblGrid>
        <w:gridCol w:w="9710"/>
      </w:tblGrid>
      <w:tr w:rsidR="0013214E" w14:paraId="634D0B8E" w14:textId="77777777">
        <w:trPr>
          <w:cantSplit w:val="0"/>
        </w:trPr>
        <w:tc>
          <w:tcPr>
            <w:tcW w:w="5000" w:type="pct"/>
          </w:tcPr>
          <w:p w14:paraId="7EFA80DB" w14:textId="77777777" w:rsidR="003C4357" w:rsidRDefault="003C4357">
            <w:pPr>
              <w:pStyle w:val="CERbullets"/>
            </w:pPr>
            <w:r w:rsidRPr="00FB00C9">
              <w:rPr>
                <w:b/>
              </w:rPr>
              <w:t>208</w:t>
            </w:r>
            <w:r w:rsidRPr="00423160">
              <w:rPr>
                <w:b/>
                <w:bCs/>
              </w:rPr>
              <w:t xml:space="preserve"> facilities</w:t>
            </w:r>
            <w:r w:rsidRPr="006E0638">
              <w:t xml:space="preserve"> </w:t>
            </w:r>
            <w:r w:rsidRPr="00A5328D">
              <w:rPr>
                <w:b/>
                <w:bCs/>
              </w:rPr>
              <w:t>were covered by the Safeguard Mechanism</w:t>
            </w:r>
            <w:r>
              <w:t>.</w:t>
            </w:r>
          </w:p>
          <w:p w14:paraId="6B2E4D7D" w14:textId="77777777" w:rsidR="003C4357" w:rsidRPr="000737C8" w:rsidRDefault="003C4357">
            <w:pPr>
              <w:pStyle w:val="CERbullets"/>
              <w:numPr>
                <w:ilvl w:val="1"/>
                <w:numId w:val="3"/>
              </w:numPr>
            </w:pPr>
            <w:r w:rsidRPr="000737C8">
              <w:t>This is lower than the 219 facilities covered in the 2023–24 reporting period</w:t>
            </w:r>
            <w:r>
              <w:rPr>
                <w:rStyle w:val="FootnoteReference"/>
              </w:rPr>
              <w:t xml:space="preserve"> </w:t>
            </w:r>
            <w:r>
              <w:rPr>
                <w:rStyle w:val="FootnoteReference"/>
              </w:rPr>
              <w:footnoteReference w:id="2"/>
            </w:r>
            <w:r w:rsidRPr="000737C8">
              <w:t>.</w:t>
            </w:r>
          </w:p>
          <w:p w14:paraId="6A5F9F08" w14:textId="7F16FAF1" w:rsidR="003C4357" w:rsidRPr="000737C8" w:rsidRDefault="003C4357">
            <w:pPr>
              <w:pStyle w:val="CERbullets"/>
              <w:numPr>
                <w:ilvl w:val="1"/>
                <w:numId w:val="3"/>
              </w:numPr>
            </w:pPr>
            <w:r>
              <w:t xml:space="preserve">Since the preliminary data was published, the review of NGER data led to </w:t>
            </w:r>
            <w:r w:rsidRPr="00FB00C9">
              <w:t>2</w:t>
            </w:r>
            <w:r>
              <w:t xml:space="preserve"> facilities moving above the Safeguard threshold and </w:t>
            </w:r>
            <w:r w:rsidR="00F76D86">
              <w:t>1</w:t>
            </w:r>
            <w:r>
              <w:t xml:space="preserve"> facility dropping below. </w:t>
            </w:r>
          </w:p>
          <w:p w14:paraId="7164E206" w14:textId="5498EB7C" w:rsidR="003C4357" w:rsidRDefault="003C4357">
            <w:pPr>
              <w:pStyle w:val="CERbullets"/>
            </w:pPr>
            <w:r w:rsidRPr="00423160">
              <w:rPr>
                <w:b/>
                <w:bCs/>
              </w:rPr>
              <w:t xml:space="preserve">Total covered </w:t>
            </w:r>
            <w:r w:rsidRPr="00DA7F2A">
              <w:rPr>
                <w:b/>
                <w:bCs/>
              </w:rPr>
              <w:t xml:space="preserve">emissions were </w:t>
            </w:r>
            <w:r w:rsidRPr="00CC5559">
              <w:rPr>
                <w:b/>
              </w:rPr>
              <w:t>132.</w:t>
            </w:r>
            <w:r w:rsidR="00CC5559" w:rsidRPr="00CC5559">
              <w:rPr>
                <w:b/>
              </w:rPr>
              <w:t>8</w:t>
            </w:r>
            <w:r w:rsidRPr="00CC5559">
              <w:rPr>
                <w:b/>
                <w:bCs/>
              </w:rPr>
              <w:t xml:space="preserve"> Mt CO</w:t>
            </w:r>
            <w:r w:rsidRPr="00CC5559">
              <w:rPr>
                <w:b/>
                <w:bCs/>
                <w:vertAlign w:val="subscript"/>
              </w:rPr>
              <w:t>2</w:t>
            </w:r>
            <w:r w:rsidRPr="00CC5559">
              <w:rPr>
                <w:b/>
                <w:bCs/>
              </w:rPr>
              <w:t>-e</w:t>
            </w:r>
            <w:r w:rsidRPr="00CC5559">
              <w:t xml:space="preserve"> </w:t>
            </w:r>
            <w:r w:rsidR="007F334D" w:rsidRPr="007F334D">
              <w:t>–</w:t>
            </w:r>
            <w:r w:rsidRPr="00CC5559">
              <w:t xml:space="preserve"> a 2.</w:t>
            </w:r>
            <w:r w:rsidR="00CC5559" w:rsidRPr="00CC5559">
              <w:t>3</w:t>
            </w:r>
            <w:r w:rsidRPr="00CC5559">
              <w:t>% reduction from</w:t>
            </w:r>
            <w:r w:rsidRPr="006E0638">
              <w:t xml:space="preserve"> </w:t>
            </w:r>
            <w:r w:rsidRPr="00A92958">
              <w:t>13</w:t>
            </w:r>
            <w:r w:rsidR="00A92958" w:rsidRPr="00A92958">
              <w:t>6.0</w:t>
            </w:r>
            <w:r w:rsidRPr="00A92958">
              <w:t xml:space="preserve"> Mt CO</w:t>
            </w:r>
            <w:r w:rsidRPr="00A92958">
              <w:rPr>
                <w:vertAlign w:val="subscript"/>
              </w:rPr>
              <w:t>2</w:t>
            </w:r>
            <w:r w:rsidRPr="00A92958">
              <w:t>-e in 2023–24.</w:t>
            </w:r>
            <w:r w:rsidRPr="006E0638">
              <w:t xml:space="preserve"> </w:t>
            </w:r>
          </w:p>
          <w:p w14:paraId="46400481" w14:textId="0774D928" w:rsidR="003C4357" w:rsidRPr="006E0638" w:rsidRDefault="003C4357">
            <w:pPr>
              <w:pStyle w:val="CERbullets"/>
            </w:pPr>
            <w:r w:rsidRPr="00423160">
              <w:rPr>
                <w:b/>
                <w:bCs/>
              </w:rPr>
              <w:t>Total net emissions</w:t>
            </w:r>
            <w:r w:rsidRPr="00CD5574">
              <w:rPr>
                <w:b/>
                <w:bCs/>
              </w:rPr>
              <w:t xml:space="preserve"> were </w:t>
            </w:r>
            <w:r w:rsidR="00A92958">
              <w:rPr>
                <w:b/>
                <w:bCs/>
              </w:rPr>
              <w:t>120</w:t>
            </w:r>
            <w:r w:rsidR="00D777F6">
              <w:rPr>
                <w:b/>
                <w:bCs/>
              </w:rPr>
              <w:t>.3</w:t>
            </w:r>
            <w:r w:rsidRPr="00CD5574">
              <w:rPr>
                <w:b/>
                <w:bCs/>
              </w:rPr>
              <w:t xml:space="preserve"> </w:t>
            </w:r>
            <w:r w:rsidRPr="00B9307F">
              <w:rPr>
                <w:b/>
              </w:rPr>
              <w:t>Mt CO</w:t>
            </w:r>
            <w:r w:rsidRPr="00B9307F">
              <w:rPr>
                <w:b/>
                <w:vertAlign w:val="subscript"/>
              </w:rPr>
              <w:t>2</w:t>
            </w:r>
            <w:r w:rsidRPr="00B9307F">
              <w:rPr>
                <w:b/>
              </w:rPr>
              <w:t xml:space="preserve">-e </w:t>
            </w:r>
            <w:r>
              <w:t xml:space="preserve">following the surrender of </w:t>
            </w:r>
            <w:r w:rsidR="009E6108" w:rsidRPr="009E6108">
              <w:t xml:space="preserve">Australian carbon credit units (ACCUs) </w:t>
            </w:r>
            <w:r>
              <w:t xml:space="preserve">and </w:t>
            </w:r>
            <w:r w:rsidR="009E6108" w:rsidRPr="009E6108">
              <w:t>Safeguard Mechanism credit units (SMCs)</w:t>
            </w:r>
            <w:r w:rsidR="009E6108">
              <w:t xml:space="preserve"> </w:t>
            </w:r>
            <w:r w:rsidR="007F334D" w:rsidRPr="007F334D">
              <w:t>–</w:t>
            </w:r>
            <w:r>
              <w:t xml:space="preserve"> a </w:t>
            </w:r>
            <w:r w:rsidR="00D777F6">
              <w:t>5.5</w:t>
            </w:r>
            <w:r>
              <w:t xml:space="preserve">% reduction from </w:t>
            </w:r>
            <w:r w:rsidRPr="00FF5DAA">
              <w:t>127.</w:t>
            </w:r>
            <w:r w:rsidR="00FF5DAA" w:rsidRPr="00FF5DAA">
              <w:t>3</w:t>
            </w:r>
            <w:r w:rsidRPr="00FF5DAA">
              <w:t xml:space="preserve"> Mt CO</w:t>
            </w:r>
            <w:r w:rsidRPr="00FF5DAA">
              <w:rPr>
                <w:vertAlign w:val="subscript"/>
              </w:rPr>
              <w:t>2</w:t>
            </w:r>
            <w:r w:rsidRPr="006E0638">
              <w:t>-e</w:t>
            </w:r>
            <w:r>
              <w:t xml:space="preserve"> in 2023–24.</w:t>
            </w:r>
          </w:p>
          <w:p w14:paraId="20F99A50" w14:textId="462AABA5" w:rsidR="003C4357" w:rsidRPr="008B7EA2" w:rsidRDefault="003C4357">
            <w:pPr>
              <w:pStyle w:val="CERbullets"/>
            </w:pPr>
            <w:r w:rsidRPr="00423160">
              <w:rPr>
                <w:b/>
                <w:bCs/>
              </w:rPr>
              <w:t xml:space="preserve">Total </w:t>
            </w:r>
            <w:r w:rsidRPr="00AE52B0">
              <w:rPr>
                <w:b/>
                <w:bCs/>
              </w:rPr>
              <w:t>baselines</w:t>
            </w:r>
            <w:r w:rsidRPr="00AE52B0">
              <w:t xml:space="preserve"> </w:t>
            </w:r>
            <w:r w:rsidRPr="00AE52B0">
              <w:rPr>
                <w:b/>
                <w:bCs/>
              </w:rPr>
              <w:t>were 126.</w:t>
            </w:r>
            <w:r w:rsidR="00AE52B0" w:rsidRPr="00AE52B0">
              <w:rPr>
                <w:b/>
                <w:bCs/>
              </w:rPr>
              <w:t>2</w:t>
            </w:r>
            <w:r w:rsidRPr="00AE52B0">
              <w:rPr>
                <w:b/>
                <w:bCs/>
              </w:rPr>
              <w:t xml:space="preserve"> Mt</w:t>
            </w:r>
            <w:r w:rsidR="00017AA6">
              <w:rPr>
                <w:b/>
                <w:bCs/>
              </w:rPr>
              <w:t xml:space="preserve"> </w:t>
            </w:r>
            <w:r w:rsidRPr="00AE52B0">
              <w:rPr>
                <w:b/>
                <w:bCs/>
              </w:rPr>
              <w:t>CO</w:t>
            </w:r>
            <w:r w:rsidRPr="00D275CB">
              <w:rPr>
                <w:b/>
                <w:bCs/>
                <w:vertAlign w:val="subscript"/>
              </w:rPr>
              <w:t>2</w:t>
            </w:r>
            <w:r w:rsidRPr="000B145B">
              <w:rPr>
                <w:b/>
                <w:bCs/>
              </w:rPr>
              <w:t>-e</w:t>
            </w:r>
            <w:r>
              <w:t xml:space="preserve"> </w:t>
            </w:r>
            <w:r w:rsidR="007F334D" w:rsidRPr="007F334D">
              <w:t>–</w:t>
            </w:r>
            <w:r>
              <w:t xml:space="preserve"> </w:t>
            </w:r>
            <w:r w:rsidRPr="008B7EA2">
              <w:t>a 7.3% reduction</w:t>
            </w:r>
            <w:r>
              <w:t xml:space="preserve"> </w:t>
            </w:r>
            <w:r w:rsidRPr="008B7EA2">
              <w:t>from 136.1 Mt</w:t>
            </w:r>
            <w:r w:rsidR="009B1F69">
              <w:t xml:space="preserve"> </w:t>
            </w:r>
            <w:r w:rsidRPr="008B7EA2">
              <w:t>CO</w:t>
            </w:r>
            <w:r w:rsidRPr="00D275CB">
              <w:rPr>
                <w:vertAlign w:val="subscript"/>
              </w:rPr>
              <w:t>2</w:t>
            </w:r>
            <w:r w:rsidRPr="00301126">
              <w:t>-</w:t>
            </w:r>
            <w:r w:rsidRPr="008B7EA2">
              <w:t xml:space="preserve">e in 2023–24. </w:t>
            </w:r>
          </w:p>
          <w:p w14:paraId="22A1B38D" w14:textId="0747BB4B" w:rsidR="003C4357" w:rsidRDefault="005C4A30">
            <w:pPr>
              <w:pStyle w:val="CERbullets"/>
            </w:pPr>
            <w:r>
              <w:rPr>
                <w:color w:val="000000" w:themeColor="text1"/>
              </w:rPr>
              <w:t>O</w:t>
            </w:r>
            <w:r w:rsidRPr="0035315D">
              <w:rPr>
                <w:color w:val="000000" w:themeColor="text1"/>
              </w:rPr>
              <w:t>nce flexibility measures for the 2024</w:t>
            </w:r>
            <w:r w:rsidR="000845BB">
              <w:rPr>
                <w:color w:val="000000" w:themeColor="text1"/>
              </w:rPr>
              <w:t>–</w:t>
            </w:r>
            <w:r w:rsidRPr="0035315D">
              <w:rPr>
                <w:color w:val="000000" w:themeColor="text1"/>
              </w:rPr>
              <w:t>25 reporting period were finalised</w:t>
            </w:r>
            <w:r>
              <w:rPr>
                <w:color w:val="000000" w:themeColor="text1"/>
              </w:rPr>
              <w:t>,</w:t>
            </w:r>
            <w:r w:rsidRPr="008B7EA2">
              <w:rPr>
                <w:b/>
                <w:bCs/>
                <w:color w:val="000000" w:themeColor="text1"/>
              </w:rPr>
              <w:t xml:space="preserve"> </w:t>
            </w:r>
            <w:r w:rsidR="003C4357" w:rsidRPr="008B7EA2">
              <w:rPr>
                <w:b/>
                <w:bCs/>
                <w:color w:val="000000" w:themeColor="text1"/>
              </w:rPr>
              <w:t>14</w:t>
            </w:r>
            <w:r>
              <w:rPr>
                <w:b/>
                <w:bCs/>
                <w:color w:val="000000" w:themeColor="text1"/>
              </w:rPr>
              <w:t>1</w:t>
            </w:r>
            <w:r w:rsidR="003C4357" w:rsidRPr="008B7EA2">
              <w:rPr>
                <w:b/>
                <w:bCs/>
                <w:color w:val="000000" w:themeColor="text1"/>
              </w:rPr>
              <w:t xml:space="preserve"> facilities’ net emissions exceeded their baselines</w:t>
            </w:r>
            <w:r w:rsidR="003C4357" w:rsidRPr="008B7EA2">
              <w:rPr>
                <w:color w:val="000000" w:themeColor="text1"/>
              </w:rPr>
              <w:t xml:space="preserve">, with a </w:t>
            </w:r>
            <w:r w:rsidR="003C4357" w:rsidRPr="008B7EA2">
              <w:rPr>
                <w:b/>
                <w:bCs/>
                <w:color w:val="000000" w:themeColor="text1"/>
              </w:rPr>
              <w:t>total excess of</w:t>
            </w:r>
            <w:r w:rsidR="003C4357" w:rsidRPr="008B7EA2">
              <w:rPr>
                <w:color w:val="000000" w:themeColor="text1"/>
              </w:rPr>
              <w:t xml:space="preserve"> </w:t>
            </w:r>
            <w:r w:rsidR="003C4357" w:rsidRPr="001479E8">
              <w:rPr>
                <w:b/>
              </w:rPr>
              <w:t>13.</w:t>
            </w:r>
            <w:r w:rsidR="00996C7D">
              <w:rPr>
                <w:b/>
                <w:bCs/>
              </w:rPr>
              <w:t>7</w:t>
            </w:r>
            <w:r w:rsidR="003C4357" w:rsidRPr="008B7EA2">
              <w:t xml:space="preserve"> </w:t>
            </w:r>
            <w:r w:rsidR="003C4357" w:rsidRPr="008B7EA2">
              <w:rPr>
                <w:b/>
                <w:bCs/>
              </w:rPr>
              <w:t>Mt</w:t>
            </w:r>
            <w:r w:rsidR="003C4357" w:rsidRPr="00F85659">
              <w:rPr>
                <w:b/>
                <w:bCs/>
              </w:rPr>
              <w:t xml:space="preserve"> CO</w:t>
            </w:r>
            <w:r w:rsidR="003C4357" w:rsidRPr="00F85659">
              <w:rPr>
                <w:b/>
                <w:bCs/>
                <w:vertAlign w:val="subscript"/>
              </w:rPr>
              <w:t>2</w:t>
            </w:r>
            <w:r w:rsidR="003C4357" w:rsidRPr="00F85659">
              <w:rPr>
                <w:b/>
                <w:bCs/>
              </w:rPr>
              <w:t>-e</w:t>
            </w:r>
            <w:r w:rsidR="009C0A91">
              <w:t>.</w:t>
            </w:r>
            <w:r w:rsidR="003C4357">
              <w:rPr>
                <w:color w:val="000000" w:themeColor="text1"/>
              </w:rPr>
              <w:t xml:space="preserve"> </w:t>
            </w:r>
            <w:r w:rsidR="003C4357" w:rsidRPr="006E0638">
              <w:t xml:space="preserve"> </w:t>
            </w:r>
          </w:p>
          <w:p w14:paraId="3071DC73" w14:textId="65E8D18F" w:rsidR="003C4357" w:rsidRPr="000737C8" w:rsidRDefault="003C4357">
            <w:pPr>
              <w:pStyle w:val="CERbullets"/>
              <w:numPr>
                <w:ilvl w:val="1"/>
                <w:numId w:val="3"/>
              </w:numPr>
            </w:pPr>
            <w:r w:rsidRPr="000737C8">
              <w:t xml:space="preserve">This is an increase </w:t>
            </w:r>
            <w:r w:rsidRPr="007A4059">
              <w:t xml:space="preserve">of </w:t>
            </w:r>
            <w:r w:rsidRPr="006F2258">
              <w:t>4.</w:t>
            </w:r>
            <w:r w:rsidR="003A7427">
              <w:t>5</w:t>
            </w:r>
            <w:r w:rsidRPr="007A4059">
              <w:t xml:space="preserve"> Mt</w:t>
            </w:r>
            <w:r w:rsidR="00017AA6">
              <w:t xml:space="preserve"> </w:t>
            </w:r>
            <w:r w:rsidRPr="000737C8">
              <w:t>CO</w:t>
            </w:r>
            <w:r w:rsidRPr="00DD39A3">
              <w:rPr>
                <w:vertAlign w:val="subscript"/>
              </w:rPr>
              <w:t>2</w:t>
            </w:r>
            <w:r w:rsidRPr="000737C8">
              <w:t xml:space="preserve">-e, from </w:t>
            </w:r>
            <w:r w:rsidRPr="00BB193A">
              <w:t xml:space="preserve">the </w:t>
            </w:r>
            <w:r w:rsidRPr="006F2258">
              <w:t>9.</w:t>
            </w:r>
            <w:r w:rsidR="002F72D4" w:rsidRPr="006F2258">
              <w:t>2</w:t>
            </w:r>
            <w:r w:rsidRPr="000737C8">
              <w:t xml:space="preserve"> Mt</w:t>
            </w:r>
            <w:r w:rsidR="00BE012E">
              <w:t xml:space="preserve"> </w:t>
            </w:r>
            <w:r w:rsidRPr="000737C8">
              <w:t>CO</w:t>
            </w:r>
            <w:r w:rsidRPr="005933DF">
              <w:rPr>
                <w:vertAlign w:val="subscript"/>
              </w:rPr>
              <w:t>2</w:t>
            </w:r>
            <w:r w:rsidRPr="000737C8">
              <w:t xml:space="preserve">-e total excess in 2023–24. </w:t>
            </w:r>
          </w:p>
          <w:p w14:paraId="1B22F269" w14:textId="77777777" w:rsidR="003C4357" w:rsidRPr="00840555" w:rsidRDefault="003C4357">
            <w:pPr>
              <w:pStyle w:val="CERbullets"/>
              <w:rPr>
                <w:b/>
                <w:bCs/>
              </w:rPr>
            </w:pPr>
            <w:r w:rsidRPr="000A03B5">
              <w:t xml:space="preserve">To manage excess emissions, </w:t>
            </w:r>
            <w:r w:rsidRPr="00840555">
              <w:rPr>
                <w:b/>
                <w:bCs/>
              </w:rPr>
              <w:t xml:space="preserve">entities surrendered: </w:t>
            </w:r>
          </w:p>
          <w:p w14:paraId="26BA5653" w14:textId="561E7EA0" w:rsidR="003C4357" w:rsidRPr="00E76560" w:rsidRDefault="00291171" w:rsidP="00944756">
            <w:pPr>
              <w:pStyle w:val="CERbullets"/>
              <w:numPr>
                <w:ilvl w:val="0"/>
                <w:numId w:val="4"/>
              </w:numPr>
              <w:spacing w:before="0" w:beforeAutospacing="0"/>
              <w:ind w:left="1276" w:hanging="425"/>
            </w:pPr>
            <w:r>
              <w:t>2.</w:t>
            </w:r>
            <w:r w:rsidR="00173D03">
              <w:t>6</w:t>
            </w:r>
            <w:r w:rsidR="003C4357" w:rsidRPr="00E76560">
              <w:t xml:space="preserve"> million SMCs</w:t>
            </w:r>
          </w:p>
          <w:p w14:paraId="558E801F" w14:textId="647C6F12" w:rsidR="003C4357" w:rsidRPr="00E76560" w:rsidRDefault="00173D03">
            <w:pPr>
              <w:pStyle w:val="CERbullets"/>
              <w:numPr>
                <w:ilvl w:val="0"/>
                <w:numId w:val="4"/>
              </w:numPr>
              <w:ind w:left="1276" w:hanging="425"/>
            </w:pPr>
            <w:r>
              <w:lastRenderedPageBreak/>
              <w:t>1</w:t>
            </w:r>
            <w:r w:rsidR="00996C7D">
              <w:t>0.8</w:t>
            </w:r>
            <w:r w:rsidR="003C4357" w:rsidRPr="00E76560">
              <w:t xml:space="preserve"> million ACCUs</w:t>
            </w:r>
            <w:r w:rsidR="003C4357">
              <w:rPr>
                <w:rStyle w:val="FootnoteReference"/>
              </w:rPr>
              <w:footnoteReference w:id="3"/>
            </w:r>
            <w:r w:rsidR="003C4357" w:rsidRPr="00E76560">
              <w:t>.</w:t>
            </w:r>
          </w:p>
          <w:p w14:paraId="56D61A86" w14:textId="17B477CC" w:rsidR="003C4357" w:rsidRPr="00660BDE" w:rsidRDefault="003C4357">
            <w:pPr>
              <w:pStyle w:val="CERbullets"/>
              <w:numPr>
                <w:ilvl w:val="0"/>
                <w:numId w:val="1"/>
              </w:numPr>
              <w:ind w:left="709" w:hanging="425"/>
            </w:pPr>
            <w:r w:rsidRPr="00423160">
              <w:rPr>
                <w:b/>
                <w:bCs/>
              </w:rPr>
              <w:t>SMC issuances</w:t>
            </w:r>
            <w:r>
              <w:rPr>
                <w:b/>
                <w:bCs/>
              </w:rPr>
              <w:t xml:space="preserve"> for 2024</w:t>
            </w:r>
            <w:r w:rsidR="00C93923">
              <w:rPr>
                <w:b/>
                <w:bCs/>
              </w:rPr>
              <w:t>–</w:t>
            </w:r>
            <w:r>
              <w:rPr>
                <w:b/>
                <w:bCs/>
              </w:rPr>
              <w:t>25</w:t>
            </w:r>
            <w:r>
              <w:t xml:space="preserve"> </w:t>
            </w:r>
            <w:r w:rsidRPr="000B145B">
              <w:rPr>
                <w:b/>
                <w:bCs/>
              </w:rPr>
              <w:t xml:space="preserve">totalled </w:t>
            </w:r>
            <w:r w:rsidR="00173D03">
              <w:rPr>
                <w:b/>
                <w:bCs/>
              </w:rPr>
              <w:t>6.7</w:t>
            </w:r>
            <w:r w:rsidRPr="000B145B">
              <w:rPr>
                <w:b/>
                <w:bCs/>
              </w:rPr>
              <w:t xml:space="preserve"> million</w:t>
            </w:r>
            <w:r>
              <w:t xml:space="preserve"> </w:t>
            </w:r>
            <w:r w:rsidR="007F334D" w:rsidRPr="007F334D">
              <w:t>–</w:t>
            </w:r>
            <w:r>
              <w:t xml:space="preserve"> a</w:t>
            </w:r>
            <w:r w:rsidRPr="000C723D">
              <w:t xml:space="preserve"> </w:t>
            </w:r>
            <w:r w:rsidRPr="00173D03">
              <w:t>1</w:t>
            </w:r>
            <w:r w:rsidR="00173D03" w:rsidRPr="00173D03">
              <w:t>9.4</w:t>
            </w:r>
            <w:r w:rsidRPr="00173D03">
              <w:t>%</w:t>
            </w:r>
            <w:r>
              <w:t xml:space="preserve"> reducti</w:t>
            </w:r>
            <w:r w:rsidRPr="00173D03">
              <w:t>on from 8.3</w:t>
            </w:r>
            <w:r w:rsidRPr="002A05F3">
              <w:t xml:space="preserve"> million in 2023</w:t>
            </w:r>
            <w:r w:rsidRPr="000737C8">
              <w:t>–</w:t>
            </w:r>
            <w:r w:rsidRPr="002A05F3">
              <w:t>24</w:t>
            </w:r>
            <w:r w:rsidRPr="006E0638">
              <w:t xml:space="preserve">. </w:t>
            </w:r>
            <w:r>
              <w:t xml:space="preserve">SMCs were issued to </w:t>
            </w:r>
            <w:r w:rsidR="00A31B5D">
              <w:t xml:space="preserve">54 </w:t>
            </w:r>
            <w:r>
              <w:t>responsible emitters.</w:t>
            </w:r>
            <w:r w:rsidRPr="006E0638">
              <w:t xml:space="preserve"> </w:t>
            </w:r>
          </w:p>
          <w:p w14:paraId="6EC46AC8" w14:textId="77777777" w:rsidR="003C4357" w:rsidRPr="006E0638" w:rsidRDefault="003C4357">
            <w:pPr>
              <w:pStyle w:val="CERbullets"/>
            </w:pPr>
            <w:r w:rsidRPr="00A31B5D">
              <w:rPr>
                <w:b/>
                <w:bCs/>
              </w:rPr>
              <w:t>10</w:t>
            </w:r>
            <w:r w:rsidRPr="009A5276">
              <w:rPr>
                <w:b/>
                <w:bCs/>
              </w:rPr>
              <w:t xml:space="preserve"> facilities accessed flexibility measures</w:t>
            </w:r>
            <w:r w:rsidRPr="006E0638">
              <w:t xml:space="preserve">, </w:t>
            </w:r>
            <w:r>
              <w:t>comprising</w:t>
            </w:r>
            <w:r w:rsidRPr="006E0638">
              <w:t>:</w:t>
            </w:r>
          </w:p>
          <w:p w14:paraId="00416E46" w14:textId="68730980" w:rsidR="003C4357" w:rsidRPr="00A31B5D" w:rsidRDefault="003C4357" w:rsidP="007D398D">
            <w:pPr>
              <w:pStyle w:val="CERbullets"/>
              <w:numPr>
                <w:ilvl w:val="0"/>
                <w:numId w:val="5"/>
              </w:numPr>
              <w:tabs>
                <w:tab w:val="left" w:pos="1843"/>
              </w:tabs>
              <w:ind w:left="1276" w:hanging="425"/>
            </w:pPr>
            <w:r w:rsidRPr="00A31B5D">
              <w:t xml:space="preserve">7 new </w:t>
            </w:r>
            <w:r w:rsidR="00CE4F17">
              <w:t>t</w:t>
            </w:r>
            <w:r w:rsidR="00CE4F17" w:rsidRPr="00CE4F17">
              <w:t>rade-exposed baseline adjustment (TEBA)</w:t>
            </w:r>
            <w:r w:rsidR="00CE4F17">
              <w:t xml:space="preserve"> </w:t>
            </w:r>
            <w:r w:rsidRPr="00A31B5D">
              <w:t>determinations</w:t>
            </w:r>
          </w:p>
          <w:p w14:paraId="69303165" w14:textId="0619CD45" w:rsidR="003C4357" w:rsidRPr="00A31B5D" w:rsidRDefault="003C4357">
            <w:pPr>
              <w:pStyle w:val="CERbullets"/>
              <w:numPr>
                <w:ilvl w:val="0"/>
                <w:numId w:val="5"/>
              </w:numPr>
              <w:tabs>
                <w:tab w:val="left" w:pos="1843"/>
              </w:tabs>
              <w:ind w:left="1276" w:hanging="425"/>
            </w:pPr>
            <w:r w:rsidRPr="00A31B5D">
              <w:t xml:space="preserve">2 new </w:t>
            </w:r>
            <w:r w:rsidR="00986209">
              <w:t>m</w:t>
            </w:r>
            <w:r w:rsidR="00986209" w:rsidRPr="00986209">
              <w:t xml:space="preserve">ulti-year monitoring period (MYMP) </w:t>
            </w:r>
            <w:r w:rsidRPr="00A31B5D">
              <w:t>declarations</w:t>
            </w:r>
          </w:p>
          <w:p w14:paraId="78E3D1D9" w14:textId="580B3389" w:rsidR="003C4357" w:rsidRDefault="003C4357">
            <w:pPr>
              <w:pStyle w:val="CERbullets"/>
              <w:numPr>
                <w:ilvl w:val="0"/>
                <w:numId w:val="5"/>
              </w:numPr>
              <w:tabs>
                <w:tab w:val="left" w:pos="1843"/>
              </w:tabs>
              <w:ind w:left="1276" w:hanging="425"/>
            </w:pPr>
            <w:r w:rsidRPr="00A31B5D">
              <w:t>1 n</w:t>
            </w:r>
            <w:r>
              <w:t>ew</w:t>
            </w:r>
            <w:r w:rsidRPr="006E0638">
              <w:t xml:space="preserve"> borrowing adjustment determination</w:t>
            </w:r>
          </w:p>
          <w:p w14:paraId="56F6581C" w14:textId="2C0C75F9" w:rsidR="003C4357" w:rsidRDefault="00ED1489">
            <w:pPr>
              <w:pStyle w:val="CERbullets"/>
              <w:numPr>
                <w:ilvl w:val="0"/>
                <w:numId w:val="5"/>
              </w:numPr>
              <w:tabs>
                <w:tab w:val="left" w:pos="1843"/>
              </w:tabs>
              <w:spacing w:before="100"/>
              <w:ind w:left="1276" w:hanging="425"/>
            </w:pPr>
            <w:r>
              <w:t>zero</w:t>
            </w:r>
            <w:r w:rsidR="003C4357">
              <w:t xml:space="preserve"> exemption declarations</w:t>
            </w:r>
          </w:p>
          <w:p w14:paraId="439F01C3" w14:textId="5E0974D7" w:rsidR="003C4357" w:rsidRDefault="003C4357">
            <w:pPr>
              <w:pStyle w:val="CERbullets"/>
              <w:numPr>
                <w:ilvl w:val="0"/>
                <w:numId w:val="5"/>
              </w:numPr>
              <w:tabs>
                <w:tab w:val="left" w:pos="1843"/>
              </w:tabs>
              <w:spacing w:before="100"/>
              <w:ind w:left="1276" w:hanging="425"/>
            </w:pPr>
            <w:r w:rsidRPr="000B2325">
              <w:t xml:space="preserve">The new MYMPs and borrowing adjustments for 2024–25 covered approximately </w:t>
            </w:r>
            <w:r w:rsidR="00CD2540">
              <w:t>8</w:t>
            </w:r>
            <w:r w:rsidR="00657E4A">
              <w:t>7</w:t>
            </w:r>
            <w:r w:rsidR="00EA34C2">
              <w:t>,0</w:t>
            </w:r>
            <w:r w:rsidR="00657E4A">
              <w:t>0</w:t>
            </w:r>
            <w:r w:rsidR="00EA34C2">
              <w:t>0</w:t>
            </w:r>
            <w:r w:rsidRPr="000B2325">
              <w:t xml:space="preserve"> tCO</w:t>
            </w:r>
            <w:r w:rsidRPr="005933DF">
              <w:rPr>
                <w:vertAlign w:val="subscript"/>
              </w:rPr>
              <w:t>2</w:t>
            </w:r>
            <w:r w:rsidRPr="000B2325">
              <w:t>-e of excess emissions, reducing the need for ACCU or SMC surrenders. These deferred liabilities will need to be brought to account in subsequent years.</w:t>
            </w:r>
          </w:p>
          <w:p w14:paraId="46137CA4" w14:textId="7ED51125" w:rsidR="003C4357" w:rsidRPr="00A25E0D" w:rsidRDefault="003C4357">
            <w:pPr>
              <w:pStyle w:val="CERbullets"/>
              <w:numPr>
                <w:ilvl w:val="0"/>
                <w:numId w:val="6"/>
              </w:numPr>
              <w:ind w:hanging="76"/>
            </w:pPr>
            <w:r w:rsidRPr="00A25E0D">
              <w:rPr>
                <w:b/>
                <w:bCs/>
              </w:rPr>
              <w:t>1 new Emissions Intensity Determination</w:t>
            </w:r>
            <w:r w:rsidRPr="00A25E0D">
              <w:t xml:space="preserve"> </w:t>
            </w:r>
            <w:r w:rsidRPr="00A25E0D">
              <w:rPr>
                <w:b/>
                <w:bCs/>
              </w:rPr>
              <w:t>(EID)</w:t>
            </w:r>
            <w:r w:rsidRPr="00A25E0D">
              <w:t xml:space="preserve"> was made for 2024</w:t>
            </w:r>
            <w:r w:rsidR="004262D3">
              <w:t>–</w:t>
            </w:r>
            <w:r w:rsidRPr="00A25E0D">
              <w:t>25.</w:t>
            </w:r>
          </w:p>
          <w:p w14:paraId="74A18182" w14:textId="51D67051" w:rsidR="003C4357" w:rsidRPr="0018645D" w:rsidRDefault="007E0AEF" w:rsidP="00944756">
            <w:pPr>
              <w:pStyle w:val="CERbullets"/>
              <w:numPr>
                <w:ilvl w:val="1"/>
                <w:numId w:val="3"/>
              </w:numPr>
              <w:spacing w:before="0" w:beforeAutospacing="0"/>
            </w:pPr>
            <w:r>
              <w:t>2</w:t>
            </w:r>
            <w:r w:rsidR="003C4357" w:rsidRPr="00A25E0D">
              <w:t xml:space="preserve"> EIDs</w:t>
            </w:r>
            <w:r w:rsidR="003C4357" w:rsidRPr="0018645D">
              <w:t xml:space="preserve"> were varied following facilities moving to higher order emissions estimation methods. The variation</w:t>
            </w:r>
            <w:r w:rsidR="003C4357">
              <w:t>s</w:t>
            </w:r>
            <w:r w:rsidR="003C4357" w:rsidRPr="0018645D">
              <w:t xml:space="preserve"> reflect material change</w:t>
            </w:r>
            <w:r w:rsidR="003C4357">
              <w:t>s</w:t>
            </w:r>
            <w:r w:rsidR="003C4357" w:rsidRPr="0018645D">
              <w:t xml:space="preserve"> in emissions and ensure consistency between baseline calculations and annual emissions reporting</w:t>
            </w:r>
            <w:r w:rsidR="003C4357">
              <w:t xml:space="preserve"> for these facilities</w:t>
            </w:r>
            <w:r w:rsidR="003C4357" w:rsidRPr="0018645D">
              <w:t>.</w:t>
            </w:r>
          </w:p>
          <w:p w14:paraId="72F24193" w14:textId="7416712F" w:rsidR="003C4357" w:rsidRDefault="003C4357">
            <w:pPr>
              <w:pStyle w:val="CERbullets"/>
              <w:numPr>
                <w:ilvl w:val="0"/>
                <w:numId w:val="6"/>
              </w:numPr>
              <w:ind w:left="709" w:hanging="425"/>
            </w:pPr>
            <w:r w:rsidRPr="00CD76B6">
              <w:t>The</w:t>
            </w:r>
            <w:r w:rsidRPr="00A6774C">
              <w:rPr>
                <w:b/>
                <w:bCs/>
              </w:rPr>
              <w:t xml:space="preserve"> 5</w:t>
            </w:r>
            <w:r w:rsidRPr="00A6774C">
              <w:rPr>
                <w:rFonts w:ascii="Cambria Math" w:hAnsi="Cambria Math" w:cs="Cambria Math"/>
                <w:b/>
                <w:bCs/>
              </w:rPr>
              <w:t>‑</w:t>
            </w:r>
            <w:r w:rsidRPr="00A6774C">
              <w:rPr>
                <w:b/>
                <w:bCs/>
              </w:rPr>
              <w:t>year rolling average</w:t>
            </w:r>
            <w:r>
              <w:rPr>
                <w:b/>
                <w:bCs/>
              </w:rPr>
              <w:t xml:space="preserve"> covered emission</w:t>
            </w:r>
            <w:r w:rsidRPr="00A6774C">
              <w:rPr>
                <w:b/>
                <w:bCs/>
              </w:rPr>
              <w:t xml:space="preserve">s </w:t>
            </w:r>
            <w:r w:rsidRPr="00CD76B6">
              <w:t>for 2024</w:t>
            </w:r>
            <w:r>
              <w:t>–</w:t>
            </w:r>
            <w:r w:rsidRPr="00CD76B6">
              <w:t xml:space="preserve">25 </w:t>
            </w:r>
            <w:r w:rsidRPr="000268ED">
              <w:t>was 136.</w:t>
            </w:r>
            <w:r w:rsidR="000268ED">
              <w:t xml:space="preserve">4 </w:t>
            </w:r>
            <w:r w:rsidRPr="65FA6212">
              <w:t>Mt CO</w:t>
            </w:r>
            <w:r w:rsidRPr="00960A76">
              <w:rPr>
                <w:vertAlign w:val="subscript"/>
              </w:rPr>
              <w:t>2</w:t>
            </w:r>
            <w:r w:rsidRPr="65FA6212">
              <w:t>-e</w:t>
            </w:r>
            <w:r w:rsidR="00E84FE0">
              <w:t>.</w:t>
            </w:r>
            <w:r>
              <w:t xml:space="preserve"> </w:t>
            </w:r>
          </w:p>
          <w:p w14:paraId="52CA8D3A" w14:textId="2C46324E" w:rsidR="003C4357" w:rsidRDefault="003C4357">
            <w:pPr>
              <w:pStyle w:val="CERbullets"/>
              <w:numPr>
                <w:ilvl w:val="0"/>
                <w:numId w:val="6"/>
              </w:numPr>
              <w:ind w:hanging="76"/>
            </w:pPr>
            <w:r w:rsidRPr="00622BD5">
              <w:rPr>
                <w:b/>
                <w:bCs/>
              </w:rPr>
              <w:t xml:space="preserve">From 1 July 2020 to 30 June 2025, total </w:t>
            </w:r>
            <w:r>
              <w:rPr>
                <w:b/>
                <w:bCs/>
              </w:rPr>
              <w:t>net</w:t>
            </w:r>
            <w:r w:rsidRPr="00622BD5">
              <w:rPr>
                <w:b/>
                <w:bCs/>
              </w:rPr>
              <w:t xml:space="preserve"> </w:t>
            </w:r>
            <w:r>
              <w:rPr>
                <w:b/>
                <w:bCs/>
              </w:rPr>
              <w:t xml:space="preserve">emissions </w:t>
            </w:r>
            <w:r w:rsidRPr="00622BD5">
              <w:rPr>
                <w:b/>
                <w:bCs/>
              </w:rPr>
              <w:t xml:space="preserve">were </w:t>
            </w:r>
            <w:r w:rsidR="00912E50">
              <w:rPr>
                <w:b/>
                <w:bCs/>
              </w:rPr>
              <w:t>659</w:t>
            </w:r>
            <w:r w:rsidR="00297F0D">
              <w:rPr>
                <w:b/>
                <w:bCs/>
              </w:rPr>
              <w:t>.6</w:t>
            </w:r>
            <w:r w:rsidRPr="00622BD5">
              <w:rPr>
                <w:b/>
                <w:bCs/>
              </w:rPr>
              <w:t xml:space="preserve"> Mt CO</w:t>
            </w:r>
            <w:r w:rsidRPr="00622BD5">
              <w:rPr>
                <w:b/>
                <w:bCs/>
                <w:vertAlign w:val="subscript"/>
              </w:rPr>
              <w:t>2</w:t>
            </w:r>
            <w:r w:rsidRPr="00622BD5">
              <w:rPr>
                <w:b/>
                <w:bCs/>
              </w:rPr>
              <w:t>-e</w:t>
            </w:r>
            <w:r w:rsidR="009C7476">
              <w:rPr>
                <w:rStyle w:val="FootnoteReference"/>
                <w:b/>
                <w:bCs/>
              </w:rPr>
              <w:footnoteReference w:id="4"/>
            </w:r>
            <w:r w:rsidRPr="65FA6212">
              <w:t xml:space="preserve">. </w:t>
            </w:r>
          </w:p>
          <w:p w14:paraId="3F98C868" w14:textId="77777777" w:rsidR="003C4357" w:rsidRPr="0092568B" w:rsidRDefault="003C4357" w:rsidP="00944756">
            <w:pPr>
              <w:pStyle w:val="CERbullets"/>
              <w:numPr>
                <w:ilvl w:val="1"/>
                <w:numId w:val="3"/>
              </w:numPr>
              <w:spacing w:before="0" w:beforeAutospacing="0"/>
            </w:pPr>
            <w:r>
              <w:t xml:space="preserve">It is an objective of the Safeguard Mechanism that total net emissions for the decade from </w:t>
            </w:r>
            <w:r w:rsidRPr="65FA6212">
              <w:t>1 July 2020 to 30 June 2030</w:t>
            </w:r>
            <w:r>
              <w:t xml:space="preserve"> do not exceed</w:t>
            </w:r>
            <w:r w:rsidRPr="65FA6212">
              <w:t xml:space="preserve"> 1,233 Mt CO</w:t>
            </w:r>
            <w:r w:rsidRPr="65FA6212">
              <w:rPr>
                <w:vertAlign w:val="subscript"/>
              </w:rPr>
              <w:t>2</w:t>
            </w:r>
            <w:r w:rsidRPr="65FA6212">
              <w:t>-e.</w:t>
            </w:r>
          </w:p>
        </w:tc>
      </w:tr>
    </w:tbl>
    <w:p w14:paraId="0AF2FF75" w14:textId="5A9F0202" w:rsidR="003C4357" w:rsidRPr="005E23E3" w:rsidRDefault="009A0188" w:rsidP="005E23E3">
      <w:pPr>
        <w:spacing w:before="240"/>
      </w:pPr>
      <w:r w:rsidRPr="00E57311">
        <w:lastRenderedPageBreak/>
        <w:t>The</w:t>
      </w:r>
      <w:r>
        <w:t xml:space="preserve"> complete</w:t>
      </w:r>
      <w:r w:rsidRPr="00E57311">
        <w:t xml:space="preserve"> </w:t>
      </w:r>
      <w:hyperlink r:id="rId10" w:history="1">
        <w:r w:rsidRPr="009A42B0">
          <w:rPr>
            <w:rStyle w:val="Hyperlink"/>
            <w:rFonts w:asciiTheme="minorHAnsi" w:hAnsiTheme="minorHAnsi"/>
          </w:rPr>
          <w:t>Safeguard Mechanism data</w:t>
        </w:r>
      </w:hyperlink>
      <w:r>
        <w:rPr>
          <w:rStyle w:val="FootnoteReference"/>
        </w:rPr>
        <w:footnoteReference w:id="5"/>
      </w:r>
      <w:r>
        <w:t xml:space="preserve"> for </w:t>
      </w:r>
      <w:r w:rsidRPr="00E57311">
        <w:t>2024</w:t>
      </w:r>
      <w:r>
        <w:t>–</w:t>
      </w:r>
      <w:r w:rsidRPr="00E57311">
        <w:t>25</w:t>
      </w:r>
      <w:r>
        <w:t xml:space="preserve"> is published on </w:t>
      </w:r>
      <w:r w:rsidR="004D5F11">
        <w:t xml:space="preserve">our </w:t>
      </w:r>
      <w:r>
        <w:t xml:space="preserve">website. </w:t>
      </w:r>
      <w:bookmarkStart w:id="3" w:name="_Toc221806786"/>
    </w:p>
    <w:p w14:paraId="3EF1DE0B" w14:textId="77777777" w:rsidR="00AB0352" w:rsidRDefault="00AB0352">
      <w:pPr>
        <w:spacing w:after="0"/>
        <w:rPr>
          <w:rFonts w:ascii="Calibri" w:eastAsia="Times New Roman" w:hAnsi="Calibri" w:cs="Calibri"/>
          <w:b/>
          <w:bCs/>
          <w:color w:val="auto"/>
          <w:kern w:val="32"/>
          <w:sz w:val="40"/>
        </w:rPr>
      </w:pPr>
      <w:r>
        <w:rPr>
          <w:color w:val="auto"/>
        </w:rPr>
        <w:br w:type="page"/>
      </w:r>
    </w:p>
    <w:p w14:paraId="0C744F34" w14:textId="0BAF7E31" w:rsidR="006E0638" w:rsidRPr="007A1EE5" w:rsidRDefault="00C95E18" w:rsidP="007A1EE5">
      <w:pPr>
        <w:pStyle w:val="Heading1"/>
        <w:spacing w:after="240"/>
        <w:rPr>
          <w:color w:val="auto"/>
        </w:rPr>
      </w:pPr>
      <w:bookmarkStart w:id="4" w:name="_Toc227062058"/>
      <w:r>
        <w:rPr>
          <w:color w:val="auto"/>
        </w:rPr>
        <w:lastRenderedPageBreak/>
        <w:t>Background</w:t>
      </w:r>
      <w:bookmarkEnd w:id="3"/>
      <w:bookmarkEnd w:id="4"/>
    </w:p>
    <w:p w14:paraId="5758B1FB" w14:textId="792BBCC4" w:rsidR="001C5A09" w:rsidRDefault="001C5A09" w:rsidP="001C5A09">
      <w:r w:rsidRPr="00025C66">
        <w:t xml:space="preserve">The Safeguard Mechanism provides industry with a stepped and predictable </w:t>
      </w:r>
      <w:r>
        <w:t>regulatory incentive</w:t>
      </w:r>
      <w:r w:rsidRPr="00025C66">
        <w:t xml:space="preserve"> to reduce</w:t>
      </w:r>
      <w:r>
        <w:t xml:space="preserve"> their</w:t>
      </w:r>
      <w:r w:rsidRPr="00025C66">
        <w:t xml:space="preserve"> emissions </w:t>
      </w:r>
      <w:r>
        <w:t>in line with</w:t>
      </w:r>
      <w:r w:rsidRPr="00025C66">
        <w:t xml:space="preserve"> Australia’s </w:t>
      </w:r>
      <w:r>
        <w:t>emissions reduction</w:t>
      </w:r>
      <w:r w:rsidRPr="00025C66">
        <w:t xml:space="preserve"> targets. It is designed to incentivise emissions reduction projects at large facilities</w:t>
      </w:r>
      <w:r w:rsidR="002C7269">
        <w:t>, while allowing for</w:t>
      </w:r>
      <w:r w:rsidRPr="00025C66">
        <w:t xml:space="preserve"> th</w:t>
      </w:r>
      <w:r w:rsidR="002C7269">
        <w:t>e</w:t>
      </w:r>
      <w:r w:rsidRPr="00025C66">
        <w:t xml:space="preserve"> time and capital investment </w:t>
      </w:r>
      <w:r w:rsidR="003E34D6">
        <w:t xml:space="preserve">that </w:t>
      </w:r>
      <w:r w:rsidR="00CB6E05">
        <w:t xml:space="preserve">may be required to </w:t>
      </w:r>
      <w:r w:rsidR="00AA0D96">
        <w:t>deliver</w:t>
      </w:r>
      <w:r w:rsidRPr="00025C66">
        <w:t xml:space="preserve"> onsite emissions reductions. </w:t>
      </w:r>
    </w:p>
    <w:p w14:paraId="04B3325C" w14:textId="057E95FF" w:rsidR="00C9750F" w:rsidRPr="006E0638" w:rsidRDefault="00365D5D" w:rsidP="00D07EB0">
      <w:pPr>
        <w:pStyle w:val="Heading2"/>
      </w:pPr>
      <w:bookmarkStart w:id="5" w:name="_Toc227062059"/>
      <w:r>
        <w:t>How the mechanism works</w:t>
      </w:r>
      <w:bookmarkEnd w:id="5"/>
    </w:p>
    <w:p w14:paraId="6EEC78FC" w14:textId="2CA85AC0" w:rsidR="006E0638" w:rsidRPr="002A0F09" w:rsidRDefault="006E0638" w:rsidP="00DA599C">
      <w:pPr>
        <w:pStyle w:val="BodyText1"/>
        <w:rPr>
          <w:szCs w:val="22"/>
        </w:rPr>
      </w:pPr>
      <w:r w:rsidRPr="006E0638">
        <w:t xml:space="preserve">The Safeguard Mechanism applies to </w:t>
      </w:r>
      <w:r w:rsidR="004017C4">
        <w:t xml:space="preserve">any facility in Australia </w:t>
      </w:r>
      <w:r w:rsidRPr="006E0638">
        <w:t>that emit</w:t>
      </w:r>
      <w:r w:rsidR="004017C4">
        <w:t>s</w:t>
      </w:r>
      <w:r w:rsidRPr="006E0638">
        <w:t xml:space="preserve"> more than </w:t>
      </w:r>
      <w:r w:rsidR="004017C4">
        <w:t xml:space="preserve">the </w:t>
      </w:r>
      <w:r w:rsidR="00A17D70">
        <w:t>s</w:t>
      </w:r>
      <w:r w:rsidR="004017C4" w:rsidRPr="00DA6F4D">
        <w:t>afeguard threshold</w:t>
      </w:r>
      <w:r w:rsidR="004017C4">
        <w:t xml:space="preserve"> of </w:t>
      </w:r>
      <w:r w:rsidRPr="006E0638">
        <w:t>100,000</w:t>
      </w:r>
      <w:r w:rsidR="008B12B3">
        <w:t xml:space="preserve"> </w:t>
      </w:r>
      <w:r w:rsidRPr="007C6FBF">
        <w:t>tCO</w:t>
      </w:r>
      <w:r w:rsidRPr="007C6FBF">
        <w:rPr>
          <w:vertAlign w:val="subscript"/>
        </w:rPr>
        <w:t>2</w:t>
      </w:r>
      <w:r w:rsidRPr="007C6FBF">
        <w:t>-e</w:t>
      </w:r>
      <w:r w:rsidRPr="006E0638">
        <w:t xml:space="preserve"> </w:t>
      </w:r>
      <w:r w:rsidR="00115E9C">
        <w:t xml:space="preserve">of </w:t>
      </w:r>
      <w:r w:rsidR="00AC7395">
        <w:t>covered</w:t>
      </w:r>
      <w:r w:rsidR="00EF4E8C">
        <w:t xml:space="preserve"> scope 1 emissions </w:t>
      </w:r>
      <w:r w:rsidRPr="006E0638">
        <w:t>in a</w:t>
      </w:r>
      <w:r w:rsidR="00DB024F">
        <w:t xml:space="preserve"> financial</w:t>
      </w:r>
      <w:r w:rsidRPr="006E0638">
        <w:t xml:space="preserve"> year. </w:t>
      </w:r>
      <w:r w:rsidR="00B46924">
        <w:t>This includes</w:t>
      </w:r>
      <w:r w:rsidR="00B46924" w:rsidRPr="006E0638">
        <w:t xml:space="preserve"> facilities across a range of </w:t>
      </w:r>
      <w:r w:rsidR="00B46924" w:rsidRPr="002A0F09">
        <w:rPr>
          <w:szCs w:val="22"/>
        </w:rPr>
        <w:t xml:space="preserve">sectors – </w:t>
      </w:r>
      <w:r w:rsidR="00B46924" w:rsidRPr="00DA599C">
        <w:t>including</w:t>
      </w:r>
      <w:r w:rsidR="00B46924" w:rsidRPr="002A0F09">
        <w:rPr>
          <w:szCs w:val="22"/>
        </w:rPr>
        <w:t xml:space="preserve"> coal mining, metal ore mining, oil and gas extraction, manufacturing, and transport.</w:t>
      </w:r>
      <w:r w:rsidR="00A37DCB" w:rsidRPr="002A0F09">
        <w:rPr>
          <w:szCs w:val="22"/>
        </w:rPr>
        <w:t xml:space="preserve"> </w:t>
      </w:r>
      <w:r w:rsidRPr="002A0F09">
        <w:rPr>
          <w:szCs w:val="22"/>
        </w:rPr>
        <w:t>In 202</w:t>
      </w:r>
      <w:r w:rsidR="000A7D0D" w:rsidRPr="002A0F09">
        <w:rPr>
          <w:szCs w:val="22"/>
        </w:rPr>
        <w:t>4</w:t>
      </w:r>
      <w:r w:rsidRPr="002A0F09">
        <w:rPr>
          <w:szCs w:val="22"/>
        </w:rPr>
        <w:t>–2</w:t>
      </w:r>
      <w:r w:rsidR="000A7D0D" w:rsidRPr="002A0F09">
        <w:rPr>
          <w:szCs w:val="22"/>
        </w:rPr>
        <w:t>5</w:t>
      </w:r>
      <w:r w:rsidR="00A26577" w:rsidRPr="002A0F09">
        <w:rPr>
          <w:szCs w:val="22"/>
        </w:rPr>
        <w:t>,</w:t>
      </w:r>
      <w:r w:rsidRPr="002A0F09">
        <w:rPr>
          <w:szCs w:val="22"/>
        </w:rPr>
        <w:t xml:space="preserve"> covered emissions from </w:t>
      </w:r>
      <w:r w:rsidR="00EA22B1" w:rsidRPr="002A0F09">
        <w:rPr>
          <w:szCs w:val="22"/>
        </w:rPr>
        <w:t>s</w:t>
      </w:r>
      <w:r w:rsidRPr="002A0F09">
        <w:rPr>
          <w:szCs w:val="22"/>
        </w:rPr>
        <w:t xml:space="preserve">afeguard facilities </w:t>
      </w:r>
      <w:r w:rsidRPr="00C43450">
        <w:rPr>
          <w:szCs w:val="22"/>
        </w:rPr>
        <w:t xml:space="preserve">made up </w:t>
      </w:r>
      <w:r w:rsidR="00C43450" w:rsidRPr="00C43450">
        <w:rPr>
          <w:szCs w:val="22"/>
        </w:rPr>
        <w:t>29.9</w:t>
      </w:r>
      <w:r w:rsidRPr="00C43450">
        <w:rPr>
          <w:szCs w:val="22"/>
        </w:rPr>
        <w:t>% of</w:t>
      </w:r>
      <w:r w:rsidRPr="002A0F09">
        <w:rPr>
          <w:szCs w:val="22"/>
        </w:rPr>
        <w:t xml:space="preserve"> Australia’s total emissions.</w:t>
      </w:r>
      <w:r w:rsidR="00B52478" w:rsidRPr="002A0F09">
        <w:rPr>
          <w:szCs w:val="22"/>
        </w:rPr>
        <w:t xml:space="preserve"> </w:t>
      </w:r>
    </w:p>
    <w:p w14:paraId="00EA595B" w14:textId="5CA4A8CA" w:rsidR="006E0638" w:rsidRPr="00DA599C" w:rsidRDefault="006E0638" w:rsidP="00DA599C">
      <w:pPr>
        <w:pStyle w:val="BodyText1"/>
      </w:pPr>
      <w:r w:rsidRPr="002A0F09">
        <w:rPr>
          <w:szCs w:val="22"/>
        </w:rPr>
        <w:t xml:space="preserve">The </w:t>
      </w:r>
      <w:r w:rsidR="00A26577" w:rsidRPr="002A0F09">
        <w:rPr>
          <w:szCs w:val="22"/>
        </w:rPr>
        <w:t>scheme</w:t>
      </w:r>
      <w:r w:rsidRPr="002A0F09">
        <w:rPr>
          <w:szCs w:val="22"/>
        </w:rPr>
        <w:t xml:space="preserve"> sets limits, known as baselines, on the greenhouse gas emissions of covered facilities. </w:t>
      </w:r>
      <w:r w:rsidR="005E5993" w:rsidRPr="002A0F09">
        <w:rPr>
          <w:szCs w:val="22"/>
        </w:rPr>
        <w:t>T</w:t>
      </w:r>
      <w:r w:rsidRPr="002A0F09">
        <w:rPr>
          <w:szCs w:val="22"/>
        </w:rPr>
        <w:t>hese baselines generally decline by 4.9% each year</w:t>
      </w:r>
      <w:r w:rsidR="008B4DB3">
        <w:rPr>
          <w:szCs w:val="22"/>
        </w:rPr>
        <w:t>,</w:t>
      </w:r>
      <w:r w:rsidRPr="002A0F09">
        <w:rPr>
          <w:szCs w:val="22"/>
        </w:rPr>
        <w:t xml:space="preserve"> </w:t>
      </w:r>
      <w:r w:rsidR="005E5993" w:rsidRPr="002A0F09">
        <w:rPr>
          <w:szCs w:val="22"/>
        </w:rPr>
        <w:t>plac</w:t>
      </w:r>
      <w:r w:rsidR="008B4DB3">
        <w:rPr>
          <w:szCs w:val="22"/>
        </w:rPr>
        <w:t>ing</w:t>
      </w:r>
      <w:r w:rsidR="005E5993" w:rsidRPr="002A0F09">
        <w:rPr>
          <w:szCs w:val="22"/>
        </w:rPr>
        <w:t xml:space="preserve"> downward pressure on </w:t>
      </w:r>
      <w:r w:rsidR="00045F82" w:rsidRPr="002A0F09">
        <w:rPr>
          <w:szCs w:val="22"/>
        </w:rPr>
        <w:t>industrial emissions</w:t>
      </w:r>
      <w:r w:rsidR="00800323" w:rsidRPr="002A0F09">
        <w:rPr>
          <w:szCs w:val="22"/>
        </w:rPr>
        <w:t xml:space="preserve"> to meet </w:t>
      </w:r>
      <w:r w:rsidR="00625555" w:rsidRPr="00DA599C">
        <w:t>Australia’s</w:t>
      </w:r>
      <w:r w:rsidR="00533CB7" w:rsidRPr="00DA599C">
        <w:t xml:space="preserve"> emissions reduction targets</w:t>
      </w:r>
      <w:r w:rsidRPr="00DA599C">
        <w:t>.</w:t>
      </w:r>
      <w:r w:rsidR="00C13449" w:rsidRPr="00DA599C">
        <w:t xml:space="preserve"> </w:t>
      </w:r>
    </w:p>
    <w:p w14:paraId="1F4B0685" w14:textId="5AC1D764" w:rsidR="00433647" w:rsidRPr="00DA599C" w:rsidRDefault="00633C37" w:rsidP="00DA599C">
      <w:pPr>
        <w:pStyle w:val="BodyText1"/>
      </w:pPr>
      <w:r w:rsidRPr="00DA599C">
        <w:t>Data reported under t</w:t>
      </w:r>
      <w:r w:rsidR="004B4F3D" w:rsidRPr="00DA599C">
        <w:t xml:space="preserve">he </w:t>
      </w:r>
      <w:r w:rsidR="005C3586" w:rsidRPr="00DA599C">
        <w:t>National Greenhouse and Energy Reporting (NGER) Scheme</w:t>
      </w:r>
      <w:r w:rsidR="00E77B9F" w:rsidRPr="00DA599C">
        <w:t xml:space="preserve"> </w:t>
      </w:r>
      <w:r w:rsidRPr="00DA599C">
        <w:t>is</w:t>
      </w:r>
      <w:r w:rsidR="00E77B9F" w:rsidRPr="00DA599C">
        <w:t xml:space="preserve"> used</w:t>
      </w:r>
      <w:r w:rsidR="005C3586" w:rsidRPr="00DA599C">
        <w:t xml:space="preserve"> </w:t>
      </w:r>
      <w:r w:rsidR="00633BD2" w:rsidRPr="00DA599C">
        <w:t>to calculate the</w:t>
      </w:r>
      <w:r w:rsidR="00F147B7" w:rsidRPr="00DA599C">
        <w:t xml:space="preserve"> emissions </w:t>
      </w:r>
      <w:r w:rsidRPr="00DA599C">
        <w:t xml:space="preserve">covered by the scheme </w:t>
      </w:r>
      <w:r w:rsidR="00A568B2" w:rsidRPr="00DA599C">
        <w:t>for each facility in</w:t>
      </w:r>
      <w:r w:rsidR="00F147B7" w:rsidRPr="00DA599C">
        <w:t xml:space="preserve"> </w:t>
      </w:r>
      <w:r w:rsidR="00A568B2" w:rsidRPr="00DA599C">
        <w:t>a</w:t>
      </w:r>
      <w:r w:rsidR="00F147B7" w:rsidRPr="00DA599C">
        <w:t xml:space="preserve"> financial year </w:t>
      </w:r>
      <w:r w:rsidR="002D282A" w:rsidRPr="00DA599C">
        <w:t>(covered emissions)</w:t>
      </w:r>
      <w:r w:rsidR="008D0BC7" w:rsidRPr="00DA599C">
        <w:t xml:space="preserve">. This is used to calculate the </w:t>
      </w:r>
      <w:r w:rsidR="00D477CC" w:rsidRPr="00DA599C">
        <w:t>facility’s net emissions number</w:t>
      </w:r>
      <w:r w:rsidR="00074EC3" w:rsidRPr="00077AE6">
        <w:rPr>
          <w:vertAlign w:val="superscript"/>
        </w:rPr>
        <w:footnoteReference w:id="6"/>
      </w:r>
      <w:r w:rsidR="003A419B" w:rsidRPr="00DA599C">
        <w:t>.</w:t>
      </w:r>
    </w:p>
    <w:p w14:paraId="3972AAA3" w14:textId="4F1DA7A3" w:rsidR="00433647" w:rsidRPr="002A0F09" w:rsidRDefault="00433647" w:rsidP="00DA599C">
      <w:pPr>
        <w:pStyle w:val="BodyText1"/>
        <w:rPr>
          <w:szCs w:val="22"/>
        </w:rPr>
      </w:pPr>
      <w:r w:rsidRPr="00DA599C">
        <w:t xml:space="preserve">If a facility’s net emissions number is under its baseline, the </w:t>
      </w:r>
      <w:r w:rsidR="00246503" w:rsidRPr="00DA599C">
        <w:t xml:space="preserve">company </w:t>
      </w:r>
      <w:r w:rsidRPr="00DA599C">
        <w:t>with operational control of the facility (its responsible</w:t>
      </w:r>
      <w:r w:rsidRPr="00F07B6F">
        <w:rPr>
          <w:szCs w:val="22"/>
        </w:rPr>
        <w:t xml:space="preserve"> emitter</w:t>
      </w:r>
      <w:r w:rsidRPr="002A0F09">
        <w:rPr>
          <w:szCs w:val="22"/>
        </w:rPr>
        <w:t xml:space="preserve">) may be eligible to receive </w:t>
      </w:r>
      <w:r w:rsidRPr="00F07B6F">
        <w:rPr>
          <w:szCs w:val="22"/>
        </w:rPr>
        <w:t>SMCs</w:t>
      </w:r>
      <w:r w:rsidRPr="002A0F09">
        <w:rPr>
          <w:szCs w:val="22"/>
        </w:rPr>
        <w:t>.</w:t>
      </w:r>
    </w:p>
    <w:p w14:paraId="2A540293" w14:textId="4FC2ED5A" w:rsidR="004821BB" w:rsidRDefault="004821BB" w:rsidP="00D07EB0">
      <w:pPr>
        <w:pStyle w:val="Heading2"/>
      </w:pPr>
      <w:bookmarkStart w:id="6" w:name="_Toc227062060"/>
      <w:r>
        <w:t>Managing excess emissions</w:t>
      </w:r>
      <w:bookmarkEnd w:id="6"/>
    </w:p>
    <w:p w14:paraId="79BC8D66" w14:textId="32464DB3" w:rsidR="009A5360" w:rsidDel="002236F6" w:rsidRDefault="00433647" w:rsidP="007A1EE5">
      <w:r w:rsidRPr="002A0F09">
        <w:rPr>
          <w:szCs w:val="22"/>
        </w:rPr>
        <w:t xml:space="preserve">If a facility’s net emissions number is over its baseline, its responsible emitter is required to </w:t>
      </w:r>
      <w:hyperlink r:id="rId11" w:history="1">
        <w:r w:rsidRPr="002A0F09">
          <w:rPr>
            <w:rStyle w:val="Hyperlink"/>
            <w:rFonts w:asciiTheme="minorHAnsi" w:hAnsiTheme="minorHAnsi"/>
            <w:szCs w:val="22"/>
          </w:rPr>
          <w:t>manage excess emissions</w:t>
        </w:r>
      </w:hyperlink>
      <w:r w:rsidR="004049F0">
        <w:rPr>
          <w:rStyle w:val="FootnoteReference"/>
          <w:szCs w:val="22"/>
        </w:rPr>
        <w:footnoteReference w:id="7"/>
      </w:r>
      <w:r w:rsidR="004821BB">
        <w:t>.</w:t>
      </w:r>
    </w:p>
    <w:p w14:paraId="50C5B07E" w14:textId="220B4A01" w:rsidR="002236F6" w:rsidRDefault="00F93691" w:rsidP="008510E3">
      <w:pPr>
        <w:pStyle w:val="BodyText1"/>
        <w:spacing w:before="0"/>
        <w:rPr>
          <w:szCs w:val="22"/>
        </w:rPr>
      </w:pPr>
      <w:r>
        <w:t xml:space="preserve">A responsible emitter can manage excess emissions by </w:t>
      </w:r>
      <w:r w:rsidR="002F4223">
        <w:rPr>
          <w:szCs w:val="22"/>
        </w:rPr>
        <w:t>su</w:t>
      </w:r>
      <w:r w:rsidRPr="002A0F09">
        <w:rPr>
          <w:szCs w:val="22"/>
        </w:rPr>
        <w:t xml:space="preserve">rrendering </w:t>
      </w:r>
      <w:r w:rsidRPr="00F07B6F">
        <w:rPr>
          <w:szCs w:val="22"/>
        </w:rPr>
        <w:t>ACCUs</w:t>
      </w:r>
      <w:r w:rsidRPr="002A0F09">
        <w:rPr>
          <w:szCs w:val="22"/>
        </w:rPr>
        <w:t xml:space="preserve"> or SMCs</w:t>
      </w:r>
      <w:r w:rsidR="0061467F">
        <w:rPr>
          <w:szCs w:val="22"/>
        </w:rPr>
        <w:t xml:space="preserve"> or by accessing flexibility measure</w:t>
      </w:r>
      <w:r w:rsidR="002236F6">
        <w:rPr>
          <w:szCs w:val="22"/>
        </w:rPr>
        <w:t>s</w:t>
      </w:r>
      <w:r>
        <w:rPr>
          <w:szCs w:val="22"/>
        </w:rPr>
        <w:t>.</w:t>
      </w:r>
      <w:r w:rsidRPr="002A0F09">
        <w:rPr>
          <w:szCs w:val="22"/>
        </w:rPr>
        <w:t xml:space="preserve"> </w:t>
      </w:r>
    </w:p>
    <w:p w14:paraId="76FC38B8" w14:textId="33EC76F0" w:rsidR="002236F6" w:rsidRDefault="002236F6" w:rsidP="00D07EB0">
      <w:pPr>
        <w:pStyle w:val="Heading3"/>
      </w:pPr>
      <w:bookmarkStart w:id="7" w:name="_Toc227062061"/>
      <w:r>
        <w:t>ACCUs and SMCs</w:t>
      </w:r>
      <w:bookmarkEnd w:id="7"/>
    </w:p>
    <w:p w14:paraId="6FCC0F5C" w14:textId="49FFD787" w:rsidR="00433647" w:rsidRDefault="00433647" w:rsidP="008510E3">
      <w:pPr>
        <w:pStyle w:val="BodyText1"/>
        <w:spacing w:before="0"/>
      </w:pPr>
      <w:r w:rsidRPr="006E0638">
        <w:t xml:space="preserve">The use of </w:t>
      </w:r>
      <w:r>
        <w:t>ACCUs and SMCs</w:t>
      </w:r>
      <w:r w:rsidRPr="006E0638">
        <w:t xml:space="preserve"> to </w:t>
      </w:r>
      <w:r w:rsidRPr="0090006F">
        <w:t>manage excess emissions</w:t>
      </w:r>
      <w:r w:rsidRPr="006E0638" w:rsidDel="00944B4D">
        <w:t xml:space="preserve"> </w:t>
      </w:r>
      <w:r w:rsidRPr="006E0638">
        <w:t>is an important design feature</w:t>
      </w:r>
      <w:r>
        <w:t xml:space="preserve"> of the scheme,</w:t>
      </w:r>
      <w:r w:rsidRPr="006E0638">
        <w:t xml:space="preserve"> allowing facilities to meet their </w:t>
      </w:r>
      <w:r>
        <w:t>safeguard</w:t>
      </w:r>
      <w:r w:rsidRPr="006E0638">
        <w:t xml:space="preserve"> obligations </w:t>
      </w:r>
      <w:r w:rsidRPr="007E5712">
        <w:t>while they transition to low-emissions technolog</w:t>
      </w:r>
      <w:r w:rsidR="00BB64A6" w:rsidRPr="007E5712">
        <w:t>ies</w:t>
      </w:r>
      <w:r w:rsidRPr="007E5712">
        <w:t xml:space="preserve"> that reduce the emissions</w:t>
      </w:r>
      <w:r w:rsidR="00732576" w:rsidRPr="007E5712">
        <w:t xml:space="preserve"> released from their facilities</w:t>
      </w:r>
      <w:r w:rsidRPr="007E5712">
        <w:t>.</w:t>
      </w:r>
      <w:r>
        <w:t xml:space="preserve"> </w:t>
      </w:r>
    </w:p>
    <w:p w14:paraId="3FDF240A" w14:textId="048A5117" w:rsidR="005F061C" w:rsidRDefault="005F061C" w:rsidP="005F061C">
      <w:pPr>
        <w:pStyle w:val="BodyText1"/>
      </w:pPr>
      <w:r>
        <w:t>An ACCU represents one t</w:t>
      </w:r>
      <w:r w:rsidRPr="0090006F">
        <w:rPr>
          <w:szCs w:val="22"/>
        </w:rPr>
        <w:t>CO</w:t>
      </w:r>
      <w:r w:rsidRPr="00F65756">
        <w:rPr>
          <w:szCs w:val="22"/>
          <w:vertAlign w:val="subscript"/>
        </w:rPr>
        <w:t>2</w:t>
      </w:r>
      <w:r w:rsidRPr="0090006F">
        <w:rPr>
          <w:szCs w:val="22"/>
        </w:rPr>
        <w:t>-e</w:t>
      </w:r>
      <w:r>
        <w:t xml:space="preserve"> of emissions sequestered or avoided by an eligible offsets project</w:t>
      </w:r>
      <w:r w:rsidR="00E622EF">
        <w:t xml:space="preserve"> registered with the CER</w:t>
      </w:r>
      <w:r>
        <w:t xml:space="preserve">. </w:t>
      </w:r>
      <w:r w:rsidRPr="007E70D5">
        <w:t xml:space="preserve">ACCUs are a high integrity, globally recognised product backed by the Australian Government. </w:t>
      </w:r>
      <w:r w:rsidRPr="007E5712">
        <w:t>Safeguard facilities are playing a central role in the development of Australia’s carbon markets by using ACCUs to support their compliance with the Safeguard Mechanism.</w:t>
      </w:r>
      <w:r>
        <w:t xml:space="preserve"> </w:t>
      </w:r>
    </w:p>
    <w:p w14:paraId="5F6A865D" w14:textId="49559454" w:rsidR="008A08CC" w:rsidRPr="00527EB0" w:rsidRDefault="005F061C" w:rsidP="00341363">
      <w:pPr>
        <w:pStyle w:val="Default"/>
        <w:rPr>
          <w:sz w:val="22"/>
          <w:szCs w:val="22"/>
        </w:rPr>
      </w:pPr>
      <w:r w:rsidRPr="0090006F">
        <w:rPr>
          <w:sz w:val="22"/>
          <w:szCs w:val="22"/>
        </w:rPr>
        <w:t>An SMC represents one tCO</w:t>
      </w:r>
      <w:r w:rsidRPr="00F65756">
        <w:rPr>
          <w:sz w:val="22"/>
          <w:szCs w:val="22"/>
          <w:vertAlign w:val="subscript"/>
        </w:rPr>
        <w:t>2</w:t>
      </w:r>
      <w:r w:rsidRPr="0090006F">
        <w:rPr>
          <w:sz w:val="22"/>
          <w:szCs w:val="22"/>
        </w:rPr>
        <w:t xml:space="preserve">-e by which a facility’s total covered emissions are below its baseline for a financial year. </w:t>
      </w:r>
      <w:r w:rsidRPr="00527EB0">
        <w:rPr>
          <w:sz w:val="22"/>
          <w:szCs w:val="22"/>
        </w:rPr>
        <w:t xml:space="preserve">SMCs are an incentive for facilities to reduce their emissions below their baselines. </w:t>
      </w:r>
    </w:p>
    <w:p w14:paraId="22D0058F" w14:textId="77777777" w:rsidR="00A24974" w:rsidRPr="00527EB0" w:rsidRDefault="00A24974" w:rsidP="00D07EB0">
      <w:pPr>
        <w:pStyle w:val="Heading3"/>
      </w:pPr>
      <w:bookmarkStart w:id="8" w:name="_Toc227062062"/>
      <w:r w:rsidRPr="00527EB0">
        <w:lastRenderedPageBreak/>
        <w:t>Flexibility measures</w:t>
      </w:r>
      <w:bookmarkEnd w:id="8"/>
    </w:p>
    <w:p w14:paraId="3848F6D7" w14:textId="132CD134" w:rsidR="00E43C69" w:rsidRPr="00527EB0" w:rsidRDefault="00A24974" w:rsidP="00E43C69">
      <w:r w:rsidRPr="00527EB0">
        <w:rPr>
          <w:szCs w:val="22"/>
        </w:rPr>
        <w:t>Responsible emitters can also manage their excess emissions by accessing the scheme’s flexibility measures, i</w:t>
      </w:r>
      <w:r w:rsidR="00E43C69" w:rsidRPr="00527EB0">
        <w:rPr>
          <w:szCs w:val="22"/>
        </w:rPr>
        <w:t>f their circumstances</w:t>
      </w:r>
      <w:r w:rsidR="00E43C69" w:rsidRPr="00527EB0">
        <w:t xml:space="preserve"> meet the eligibility criteria. The</w:t>
      </w:r>
      <w:r w:rsidR="00990C5C">
        <w:t xml:space="preserve"> following</w:t>
      </w:r>
      <w:r w:rsidR="00E43C69" w:rsidRPr="00527EB0">
        <w:t xml:space="preserve"> flexibility measures </w:t>
      </w:r>
      <w:r w:rsidR="00AC6590">
        <w:t xml:space="preserve">are </w:t>
      </w:r>
      <w:r w:rsidR="00E43C69" w:rsidRPr="00527EB0">
        <w:t>available:</w:t>
      </w:r>
    </w:p>
    <w:p w14:paraId="62325A10" w14:textId="4D32D4AE" w:rsidR="00E43C69" w:rsidRPr="00015275" w:rsidRDefault="00E43C69" w:rsidP="00E43C69">
      <w:pPr>
        <w:pStyle w:val="CERbullets"/>
      </w:pPr>
      <w:r w:rsidRPr="008510E3">
        <w:t xml:space="preserve">TEBA: Facilities with a TEBA receive a reduced baseline decline rate for up to 3 financial years. To be eligible for a TEBA, the facility must </w:t>
      </w:r>
      <w:r w:rsidR="00AE6EE3">
        <w:t xml:space="preserve">satisfy </w:t>
      </w:r>
      <w:r w:rsidR="003A6AE3">
        <w:t xml:space="preserve">strict </w:t>
      </w:r>
      <w:r w:rsidR="00AE6EE3">
        <w:t>criteria related to</w:t>
      </w:r>
      <w:r w:rsidRPr="008510E3">
        <w:t xml:space="preserve"> </w:t>
      </w:r>
      <w:r w:rsidR="00273021">
        <w:t xml:space="preserve">trade exposure and </w:t>
      </w:r>
      <w:r w:rsidRPr="008510E3">
        <w:t>the cost impact of Safeguard compliance on their</w:t>
      </w:r>
      <w:r>
        <w:t xml:space="preserve"> </w:t>
      </w:r>
      <w:r w:rsidRPr="00015275">
        <w:t xml:space="preserve">revenue or earnings. </w:t>
      </w:r>
    </w:p>
    <w:p w14:paraId="40B60E59" w14:textId="487FA54F" w:rsidR="00E43C69" w:rsidRPr="008510E3" w:rsidRDefault="0036528B" w:rsidP="00E43C69">
      <w:pPr>
        <w:pStyle w:val="CERbullets"/>
      </w:pPr>
      <w:r w:rsidRPr="00BF1E3E">
        <w:t>MYMPs</w:t>
      </w:r>
      <w:r w:rsidR="00CE4F17">
        <w:t>: These</w:t>
      </w:r>
      <w:r w:rsidRPr="00BF1E3E">
        <w:t xml:space="preserve"> help responsible emitters implement decarbonisation projects that take multiple financial years to </w:t>
      </w:r>
      <w:r w:rsidR="005D57DB">
        <w:t>deploy</w:t>
      </w:r>
      <w:r w:rsidRPr="00BF1E3E">
        <w:t>.</w:t>
      </w:r>
      <w:r w:rsidR="00D66C77">
        <w:t xml:space="preserve"> </w:t>
      </w:r>
      <w:r w:rsidR="00E43C69" w:rsidRPr="008510E3">
        <w:t xml:space="preserve">A MYMP gives a facility up to 5 financial years to implement a decarbonisation project that will reduce its cumulative emissions below its cumulative baseline for the period. </w:t>
      </w:r>
    </w:p>
    <w:p w14:paraId="235153CF" w14:textId="4B5F3485" w:rsidR="00E43C69" w:rsidRPr="008510E3" w:rsidRDefault="004F735E" w:rsidP="00E43C69">
      <w:pPr>
        <w:pStyle w:val="CERbullets"/>
      </w:pPr>
      <w:r>
        <w:t>B</w:t>
      </w:r>
      <w:r w:rsidR="00E43C69" w:rsidRPr="008510E3">
        <w:t xml:space="preserve">orrowing adjustment: </w:t>
      </w:r>
      <w:r w:rsidR="00C40FB7" w:rsidRPr="00BF1E3E">
        <w:t xml:space="preserve">Borrowing adjustments help responsible emitters </w:t>
      </w:r>
      <w:r w:rsidR="006F2FA2">
        <w:t>manage their emissions</w:t>
      </w:r>
      <w:r w:rsidR="00C40FB7" w:rsidRPr="00BF1E3E">
        <w:t xml:space="preserve"> </w:t>
      </w:r>
      <w:r w:rsidR="00C40FB7">
        <w:t xml:space="preserve">across </w:t>
      </w:r>
      <w:r w:rsidR="007E0AEF">
        <w:t>2</w:t>
      </w:r>
      <w:r w:rsidR="00C40FB7">
        <w:t xml:space="preserve"> financial years</w:t>
      </w:r>
      <w:r w:rsidR="00C40FB7" w:rsidRPr="00BF1E3E">
        <w:t>.</w:t>
      </w:r>
      <w:r w:rsidR="00BB2FA3">
        <w:t xml:space="preserve"> </w:t>
      </w:r>
      <w:r w:rsidR="00E43C69" w:rsidRPr="008510E3">
        <w:t xml:space="preserve">A facility’s baseline for a financial year is increased by </w:t>
      </w:r>
      <w:proofErr w:type="gramStart"/>
      <w:r w:rsidR="00E43C69" w:rsidRPr="008510E3">
        <w:t>a number of</w:t>
      </w:r>
      <w:proofErr w:type="gramEnd"/>
      <w:r w:rsidR="00E43C69" w:rsidRPr="008510E3">
        <w:t xml:space="preserve"> tCO</w:t>
      </w:r>
      <w:r w:rsidR="00E43C69" w:rsidRPr="008510E3">
        <w:rPr>
          <w:vertAlign w:val="subscript"/>
        </w:rPr>
        <w:t>2</w:t>
      </w:r>
      <w:r w:rsidR="00E43C69" w:rsidRPr="008510E3">
        <w:t>-e up to 10% of the baseline emissions number. The facility’s baseline for the following year is reduced by the number of tCO</w:t>
      </w:r>
      <w:r w:rsidR="00E43C69" w:rsidRPr="008510E3">
        <w:rPr>
          <w:vertAlign w:val="subscript"/>
        </w:rPr>
        <w:t>2</w:t>
      </w:r>
      <w:r w:rsidR="00E43C69" w:rsidRPr="008510E3">
        <w:t>-e that was borrowed, plus a further amount of reduction, which can be thought of as ‘interest’</w:t>
      </w:r>
      <w:r w:rsidR="005134FA">
        <w:t xml:space="preserve"> on the borrowed amount</w:t>
      </w:r>
      <w:r w:rsidR="00E43C69" w:rsidRPr="008510E3">
        <w:t xml:space="preserve">. </w:t>
      </w:r>
    </w:p>
    <w:p w14:paraId="0209001F" w14:textId="65221B84" w:rsidR="00E43C69" w:rsidRPr="008510E3" w:rsidRDefault="004F735E" w:rsidP="00E43C69">
      <w:pPr>
        <w:pStyle w:val="CERbullets"/>
      </w:pPr>
      <w:r>
        <w:t>E</w:t>
      </w:r>
      <w:r w:rsidR="00E43C69" w:rsidRPr="008510E3">
        <w:t xml:space="preserve">xemption declaration: </w:t>
      </w:r>
      <w:r w:rsidR="00F21165">
        <w:t>W</w:t>
      </w:r>
      <w:r w:rsidR="00F21165" w:rsidRPr="00BF1E3E">
        <w:t>here an emitter can demonstrate that their facility’s emissions exceeded its baseline as a direct</w:t>
      </w:r>
      <w:r w:rsidR="008D353D">
        <w:t xml:space="preserve"> and entire</w:t>
      </w:r>
      <w:r w:rsidR="004922C1">
        <w:t xml:space="preserve"> </w:t>
      </w:r>
      <w:r w:rsidR="00F21165" w:rsidRPr="00BF1E3E">
        <w:t>result of a natural disaster or criminal activity</w:t>
      </w:r>
      <w:r w:rsidR="00E43C69" w:rsidRPr="008510E3">
        <w:t xml:space="preserve">, </w:t>
      </w:r>
      <w:r w:rsidR="00A2774E">
        <w:t>the</w:t>
      </w:r>
      <w:r w:rsidR="00E43C69" w:rsidRPr="008510E3">
        <w:t xml:space="preserve"> facility can be exempt from the operation of the Safeguard Mechanism for </w:t>
      </w:r>
      <w:r w:rsidR="00F21EB9">
        <w:t>one</w:t>
      </w:r>
      <w:r w:rsidR="00E43C69" w:rsidRPr="008510E3">
        <w:t xml:space="preserve"> financial year. </w:t>
      </w:r>
    </w:p>
    <w:p w14:paraId="07D7527D" w14:textId="0A08A404" w:rsidR="00341363" w:rsidRPr="00A24974" w:rsidRDefault="00E43C69" w:rsidP="00D07EB0">
      <w:pPr>
        <w:pStyle w:val="Heading2"/>
      </w:pPr>
      <w:bookmarkStart w:id="9" w:name="_Compliance_and_enforcement"/>
      <w:bookmarkStart w:id="10" w:name="_Toc227062063"/>
      <w:bookmarkEnd w:id="9"/>
      <w:r>
        <w:t>Compliance and enforcement</w:t>
      </w:r>
      <w:bookmarkEnd w:id="10"/>
    </w:p>
    <w:p w14:paraId="7A2A624A" w14:textId="77777777" w:rsidR="00C02958" w:rsidRDefault="008A08CC" w:rsidP="008A08CC">
      <w:r>
        <w:t>The CER has a range of enforcement powers where responsible emitters fail to manage excess emissions. W</w:t>
      </w:r>
      <w:r w:rsidRPr="000222CF">
        <w:t xml:space="preserve">e </w:t>
      </w:r>
      <w:r>
        <w:t>can</w:t>
      </w:r>
      <w:r w:rsidRPr="000222CF">
        <w:t xml:space="preserve"> take enforcement action drawing from </w:t>
      </w:r>
      <w:r>
        <w:t>our</w:t>
      </w:r>
      <w:r w:rsidRPr="000222CF">
        <w:t xml:space="preserve"> full suite of compliance and enforcement powers. </w:t>
      </w:r>
    </w:p>
    <w:p w14:paraId="76CA7EE6" w14:textId="597F549E" w:rsidR="008E3EEA" w:rsidRDefault="008A08CC" w:rsidP="008A08CC">
      <w:r>
        <w:t>As described in o</w:t>
      </w:r>
      <w:r w:rsidRPr="000222CF">
        <w:t xml:space="preserve">ur </w:t>
      </w:r>
      <w:r w:rsidRPr="00762EEE">
        <w:t>compliance and enforcement priorities</w:t>
      </w:r>
      <w:r>
        <w:t xml:space="preserve">, our </w:t>
      </w:r>
      <w:r w:rsidRPr="000222CF">
        <w:t>response</w:t>
      </w:r>
      <w:r w:rsidR="002F451B">
        <w:t>s</w:t>
      </w:r>
      <w:r w:rsidRPr="000222CF">
        <w:t xml:space="preserve"> to non-compliance are proportionate </w:t>
      </w:r>
      <w:r>
        <w:t>to the relevant circumstances</w:t>
      </w:r>
      <w:r w:rsidR="00E8719F">
        <w:t>.</w:t>
      </w:r>
      <w:r>
        <w:t xml:space="preserve"> </w:t>
      </w:r>
      <w:r w:rsidRPr="002F2A21">
        <w:t xml:space="preserve">Safeguard </w:t>
      </w:r>
      <w:r>
        <w:t>emitters</w:t>
      </w:r>
      <w:r w:rsidRPr="002F2A21">
        <w:t xml:space="preserve"> who fail to meet their obligations by the relevant deadline should </w:t>
      </w:r>
      <w:r w:rsidRPr="000009BA">
        <w:t>expect that the CER will take strong enforcement action.</w:t>
      </w:r>
    </w:p>
    <w:p w14:paraId="48277AAF" w14:textId="514801B1" w:rsidR="00433647" w:rsidRPr="000009BA" w:rsidRDefault="008E3EEA" w:rsidP="008510E3">
      <w:r>
        <w:t xml:space="preserve">The CER </w:t>
      </w:r>
      <w:r w:rsidR="00844B90">
        <w:t>publishe</w:t>
      </w:r>
      <w:r>
        <w:t xml:space="preserve">s </w:t>
      </w:r>
      <w:hyperlink r:id="rId12" w:history="1">
        <w:r w:rsidRPr="002367D9">
          <w:rPr>
            <w:rStyle w:val="Hyperlink"/>
            <w:rFonts w:asciiTheme="minorHAnsi" w:hAnsiTheme="minorHAnsi"/>
          </w:rPr>
          <w:t>quarterly updates on compliance activity</w:t>
        </w:r>
      </w:hyperlink>
      <w:r>
        <w:t>.</w:t>
      </w:r>
      <w:r w:rsidR="002367D9">
        <w:rPr>
          <w:rStyle w:val="FootnoteReference"/>
        </w:rPr>
        <w:footnoteReference w:id="8"/>
      </w:r>
    </w:p>
    <w:p w14:paraId="7BC45CAD" w14:textId="2A15DA70" w:rsidR="00C2037B" w:rsidRPr="000009BA" w:rsidRDefault="00C2037B" w:rsidP="00D07EB0">
      <w:pPr>
        <w:pStyle w:val="Heading2"/>
      </w:pPr>
      <w:bookmarkStart w:id="11" w:name="_Toc227062064"/>
      <w:r w:rsidRPr="000009BA">
        <w:t>Upcoming scheme review</w:t>
      </w:r>
      <w:bookmarkEnd w:id="11"/>
    </w:p>
    <w:p w14:paraId="5E55A919" w14:textId="34AA5292" w:rsidR="0037382D" w:rsidRDefault="008E7E84" w:rsidP="00D07EB0">
      <w:bookmarkStart w:id="12" w:name="_Toc221806787"/>
      <w:r w:rsidRPr="000009BA">
        <w:rPr>
          <w:color w:val="auto"/>
        </w:rPr>
        <w:t xml:space="preserve">The government’s </w:t>
      </w:r>
      <w:hyperlink r:id="rId13" w:anchor="_202627-review-of-the-safeguard-mechanism" w:history="1">
        <w:r w:rsidRPr="0037382D">
          <w:rPr>
            <w:rStyle w:val="Hyperlink"/>
            <w:rFonts w:asciiTheme="minorHAnsi" w:hAnsiTheme="minorHAnsi"/>
          </w:rPr>
          <w:t>review of the Safeguard Mechanism in 2026–27</w:t>
        </w:r>
      </w:hyperlink>
      <w:r w:rsidR="0037382D">
        <w:rPr>
          <w:rStyle w:val="FootnoteReference"/>
          <w:color w:val="auto"/>
        </w:rPr>
        <w:footnoteReference w:id="9"/>
      </w:r>
      <w:r w:rsidRPr="000009BA" w:rsidDel="00E21F51">
        <w:rPr>
          <w:color w:val="auto"/>
        </w:rPr>
        <w:t xml:space="preserve"> </w:t>
      </w:r>
      <w:r w:rsidRPr="000009BA">
        <w:rPr>
          <w:color w:val="auto"/>
        </w:rPr>
        <w:t>will consider whether its</w:t>
      </w:r>
      <w:r w:rsidRPr="000009BA" w:rsidDel="00364EEA">
        <w:rPr>
          <w:color w:val="auto"/>
        </w:rPr>
        <w:t xml:space="preserve"> </w:t>
      </w:r>
      <w:r w:rsidRPr="000009BA">
        <w:rPr>
          <w:color w:val="auto"/>
        </w:rPr>
        <w:t>policy settings</w:t>
      </w:r>
      <w:r w:rsidR="00DC12E6">
        <w:rPr>
          <w:color w:val="auto"/>
        </w:rPr>
        <w:t xml:space="preserve"> </w:t>
      </w:r>
      <w:r w:rsidRPr="000009BA">
        <w:rPr>
          <w:color w:val="auto"/>
        </w:rPr>
        <w:t>are appropriately</w:t>
      </w:r>
      <w:r w:rsidR="00916449">
        <w:rPr>
          <w:color w:val="auto"/>
        </w:rPr>
        <w:t xml:space="preserve"> calibrated</w:t>
      </w:r>
      <w:r w:rsidR="0037382D">
        <w:rPr>
          <w:color w:val="auto"/>
        </w:rPr>
        <w:t xml:space="preserve"> – t</w:t>
      </w:r>
      <w:r w:rsidRPr="000009BA">
        <w:rPr>
          <w:color w:val="auto"/>
        </w:rPr>
        <w:t>he</w:t>
      </w:r>
      <w:r w:rsidR="0037382D">
        <w:rPr>
          <w:color w:val="auto"/>
        </w:rPr>
        <w:t>se</w:t>
      </w:r>
      <w:r w:rsidRPr="000009BA">
        <w:rPr>
          <w:color w:val="auto"/>
        </w:rPr>
        <w:t xml:space="preserve"> matters are set </w:t>
      </w:r>
      <w:r w:rsidR="00C626C8">
        <w:rPr>
          <w:color w:val="auto"/>
        </w:rPr>
        <w:t xml:space="preserve">on the </w:t>
      </w:r>
      <w:r w:rsidR="00C626C8" w:rsidRPr="0037382D">
        <w:t>Department of Climate Change, Energy, the Environment and Water’s website</w:t>
      </w:r>
      <w:r w:rsidR="002C0211">
        <w:rPr>
          <w:color w:val="auto"/>
        </w:rPr>
        <w:t>.</w:t>
      </w:r>
      <w:r w:rsidR="00585B08" w:rsidRPr="000009BA">
        <w:t xml:space="preserve"> </w:t>
      </w:r>
    </w:p>
    <w:p w14:paraId="135EBC4E" w14:textId="510C423B" w:rsidR="002F7F94" w:rsidRPr="00D07EB0" w:rsidRDefault="00585B08" w:rsidP="00D07EB0">
      <w:pPr>
        <w:rPr>
          <w:color w:val="auto"/>
        </w:rPr>
      </w:pPr>
      <w:r w:rsidRPr="000009BA">
        <w:t>The</w:t>
      </w:r>
      <w:r>
        <w:t xml:space="preserve"> review</w:t>
      </w:r>
      <w:r w:rsidR="00281973">
        <w:t xml:space="preserve"> </w:t>
      </w:r>
      <w:r w:rsidR="00293EBC">
        <w:t xml:space="preserve">will consider matters such </w:t>
      </w:r>
      <w:r w:rsidR="0012059C">
        <w:t xml:space="preserve">as baseline calculation, </w:t>
      </w:r>
      <w:r w:rsidR="00BE5325">
        <w:t xml:space="preserve">options to manage excess emissions, </w:t>
      </w:r>
      <w:r w:rsidR="00975EEB">
        <w:t>flexibility mec</w:t>
      </w:r>
      <w:r w:rsidR="00DE372F">
        <w:t>h</w:t>
      </w:r>
      <w:r w:rsidR="00975EEB">
        <w:t>anisms, trade-expos</w:t>
      </w:r>
      <w:r w:rsidR="00DE372F">
        <w:t>ed industry sectors</w:t>
      </w:r>
      <w:r w:rsidR="008E6D63">
        <w:t xml:space="preserve">, </w:t>
      </w:r>
      <w:r w:rsidR="00767903">
        <w:t xml:space="preserve">availability of </w:t>
      </w:r>
      <w:r w:rsidR="008E6D63">
        <w:t xml:space="preserve">SMCs and </w:t>
      </w:r>
      <w:r w:rsidR="00767903">
        <w:t xml:space="preserve">overall </w:t>
      </w:r>
      <w:r w:rsidR="008E6D63">
        <w:t>scheme coverage.</w:t>
      </w:r>
      <w:bookmarkEnd w:id="12"/>
    </w:p>
    <w:p w14:paraId="54318168" w14:textId="77777777" w:rsidR="00D07EB0" w:rsidRDefault="00D07EB0">
      <w:pPr>
        <w:spacing w:after="0"/>
        <w:rPr>
          <w:rFonts w:ascii="Calibri" w:eastAsia="Times New Roman" w:hAnsi="Calibri" w:cs="Calibri"/>
          <w:b/>
          <w:bCs/>
          <w:kern w:val="32"/>
          <w:sz w:val="40"/>
        </w:rPr>
      </w:pPr>
      <w:bookmarkStart w:id="13" w:name="_Toc221806789"/>
      <w:r>
        <w:br w:type="page"/>
      </w:r>
    </w:p>
    <w:p w14:paraId="3FF72C53" w14:textId="026DD8A1" w:rsidR="00433647" w:rsidRPr="00FD41E3" w:rsidRDefault="00433647" w:rsidP="009712A2">
      <w:pPr>
        <w:pStyle w:val="Heading1"/>
      </w:pPr>
      <w:bookmarkStart w:id="14" w:name="_Toc227062065"/>
      <w:r w:rsidRPr="00E35B2A">
        <w:lastRenderedPageBreak/>
        <w:t>2024–25</w:t>
      </w:r>
      <w:r>
        <w:t xml:space="preserve"> </w:t>
      </w:r>
      <w:r w:rsidRPr="00E35B2A">
        <w:t xml:space="preserve">Safeguard Mechanism </w:t>
      </w:r>
      <w:r w:rsidR="0011719C">
        <w:t>d</w:t>
      </w:r>
      <w:r w:rsidR="001C680F">
        <w:t xml:space="preserve">ata </w:t>
      </w:r>
      <w:r w:rsidR="0011719C">
        <w:t>t</w:t>
      </w:r>
      <w:r w:rsidR="001C680F">
        <w:t>rends</w:t>
      </w:r>
      <w:bookmarkEnd w:id="13"/>
      <w:bookmarkEnd w:id="14"/>
    </w:p>
    <w:p w14:paraId="42472758" w14:textId="3FF50705" w:rsidR="00B40DF9" w:rsidRPr="00522B2F" w:rsidRDefault="00B40DF9" w:rsidP="00783498">
      <w:pPr>
        <w:pStyle w:val="Heading2"/>
        <w:jc w:val="both"/>
      </w:pPr>
      <w:bookmarkStart w:id="15" w:name="_Toc227062066"/>
      <w:bookmarkStart w:id="16" w:name="_Toc221806793"/>
      <w:r w:rsidRPr="00522053">
        <w:t xml:space="preserve">The </w:t>
      </w:r>
      <w:r w:rsidR="00E45255">
        <w:t>m</w:t>
      </w:r>
      <w:r w:rsidR="00F948BD" w:rsidRPr="00522053">
        <w:t xml:space="preserve">echanism </w:t>
      </w:r>
      <w:r w:rsidR="00F948BD" w:rsidRPr="00522B2F">
        <w:t xml:space="preserve">continues to work </w:t>
      </w:r>
      <w:r w:rsidR="00300DFC" w:rsidRPr="00522B2F">
        <w:t>as expected</w:t>
      </w:r>
      <w:bookmarkEnd w:id="15"/>
    </w:p>
    <w:p w14:paraId="3C9AD078" w14:textId="4A045F75" w:rsidR="00617E05" w:rsidRDefault="00304E10" w:rsidP="00617E05">
      <w:r w:rsidRPr="00522B2F">
        <w:t>2024</w:t>
      </w:r>
      <w:r w:rsidR="006457EA" w:rsidRPr="00522B2F">
        <w:t>–</w:t>
      </w:r>
      <w:r w:rsidRPr="00522B2F">
        <w:t>25 was</w:t>
      </w:r>
      <w:r w:rsidR="00340090" w:rsidRPr="00522B2F">
        <w:t xml:space="preserve"> the second compliance period </w:t>
      </w:r>
      <w:r w:rsidR="00B22742" w:rsidRPr="00522B2F">
        <w:t>to be completed since the</w:t>
      </w:r>
      <w:r w:rsidR="00340090" w:rsidRPr="00522B2F">
        <w:t xml:space="preserve"> </w:t>
      </w:r>
      <w:r w:rsidR="00FE48F9" w:rsidRPr="00522B2F">
        <w:t xml:space="preserve">Safeguard Mechanism </w:t>
      </w:r>
      <w:r w:rsidR="00340090" w:rsidRPr="00522B2F">
        <w:t>reform in 2023. The data shows the Safeguard Mechanism continues to progress well</w:t>
      </w:r>
      <w:r w:rsidR="009A0188" w:rsidRPr="00522B2F">
        <w:t xml:space="preserve"> in line with expectations and p</w:t>
      </w:r>
      <w:r w:rsidR="00FF14D7" w:rsidRPr="00522B2F">
        <w:t>olicy settings.</w:t>
      </w:r>
    </w:p>
    <w:p w14:paraId="6374FE3F" w14:textId="0098AA5B" w:rsidR="002C1981" w:rsidRDefault="00B73AB5" w:rsidP="00617E05">
      <w:r>
        <w:t>The</w:t>
      </w:r>
      <w:r w:rsidR="00474B54">
        <w:t xml:space="preserve"> cumulative impact of the scheme since its reform includes a</w:t>
      </w:r>
      <w:r>
        <w:t xml:space="preserve"> total reduction in </w:t>
      </w:r>
      <w:r w:rsidR="006D4758">
        <w:t xml:space="preserve">covered emissions </w:t>
      </w:r>
      <w:r w:rsidR="00076EFB">
        <w:t xml:space="preserve">of </w:t>
      </w:r>
      <w:r w:rsidR="00C43450">
        <w:t>5.8</w:t>
      </w:r>
      <w:r w:rsidR="00E9724F">
        <w:t> </w:t>
      </w:r>
      <w:r w:rsidR="00DC7383" w:rsidRPr="65FA6212">
        <w:t>Mt CO</w:t>
      </w:r>
      <w:r w:rsidR="00DC7383" w:rsidRPr="65FA6212">
        <w:rPr>
          <w:vertAlign w:val="subscript"/>
        </w:rPr>
        <w:t>2</w:t>
      </w:r>
      <w:r w:rsidR="00DC7383" w:rsidRPr="65FA6212">
        <w:t>-e</w:t>
      </w:r>
      <w:r w:rsidR="00DC7383">
        <w:t xml:space="preserve"> across the </w:t>
      </w:r>
      <w:r w:rsidR="007E0AEF">
        <w:t>2</w:t>
      </w:r>
      <w:r w:rsidR="00DC7383">
        <w:t xml:space="preserve"> completed </w:t>
      </w:r>
      <w:r w:rsidR="009719E9">
        <w:t>years</w:t>
      </w:r>
      <w:r w:rsidR="00DC7383">
        <w:t>, w</w:t>
      </w:r>
      <w:r w:rsidR="00E46467">
        <w:t xml:space="preserve">ith </w:t>
      </w:r>
      <w:r w:rsidR="00024BE0">
        <w:t xml:space="preserve">net emissions falling by </w:t>
      </w:r>
      <w:r w:rsidR="00C43450">
        <w:t>17.5</w:t>
      </w:r>
      <w:r w:rsidR="00024BE0">
        <w:t xml:space="preserve"> </w:t>
      </w:r>
      <w:r w:rsidR="00024BE0" w:rsidRPr="65FA6212">
        <w:t>Mt CO</w:t>
      </w:r>
      <w:r w:rsidR="00024BE0" w:rsidRPr="65FA6212">
        <w:rPr>
          <w:vertAlign w:val="subscript"/>
        </w:rPr>
        <w:t>2</w:t>
      </w:r>
      <w:r w:rsidR="00024BE0" w:rsidRPr="65FA6212">
        <w:t>-e</w:t>
      </w:r>
      <w:r w:rsidR="00024BE0">
        <w:t xml:space="preserve">. Baselines have reduced by a total of </w:t>
      </w:r>
      <w:r w:rsidR="009F4E03">
        <w:t xml:space="preserve">45.4 </w:t>
      </w:r>
      <w:r w:rsidR="00024BE0" w:rsidRPr="65FA6212">
        <w:t>Mt CO</w:t>
      </w:r>
      <w:r w:rsidR="00024BE0" w:rsidRPr="65FA6212">
        <w:rPr>
          <w:vertAlign w:val="subscript"/>
        </w:rPr>
        <w:t>2</w:t>
      </w:r>
      <w:r w:rsidR="00024BE0" w:rsidRPr="65FA6212">
        <w:t>-e</w:t>
      </w:r>
      <w:r w:rsidR="00024BE0">
        <w:t xml:space="preserve"> </w:t>
      </w:r>
      <w:r w:rsidR="0021390F">
        <w:t xml:space="preserve">in the </w:t>
      </w:r>
      <w:r w:rsidR="007E0AEF">
        <w:t>2</w:t>
      </w:r>
      <w:r w:rsidR="0021390F">
        <w:t xml:space="preserve"> years, resulting in </w:t>
      </w:r>
      <w:r w:rsidR="00B53C95">
        <w:t xml:space="preserve">the </w:t>
      </w:r>
      <w:r w:rsidR="0021390F">
        <w:t xml:space="preserve">total removal of </w:t>
      </w:r>
      <w:r w:rsidR="00F75B08">
        <w:t>aggregate headroom</w:t>
      </w:r>
      <w:r w:rsidR="004D2D54">
        <w:t xml:space="preserve"> </w:t>
      </w:r>
      <w:r w:rsidR="00B17445">
        <w:t>(the difference between total covered emissions and total baselines across the scheme)</w:t>
      </w:r>
      <w:r w:rsidR="00DF48D3">
        <w:t xml:space="preserve">. </w:t>
      </w:r>
    </w:p>
    <w:p w14:paraId="5C065E75" w14:textId="2109B1F3" w:rsidR="002F3772" w:rsidRDefault="002F3772" w:rsidP="00C63D5A">
      <w:pPr>
        <w:pStyle w:val="Heading2"/>
      </w:pPr>
      <w:bookmarkStart w:id="17" w:name="_Toc227062067"/>
      <w:r>
        <w:t>C</w:t>
      </w:r>
      <w:r w:rsidR="00386218">
        <w:t>o</w:t>
      </w:r>
      <w:r w:rsidR="00487C11">
        <w:t>mpliance remains high</w:t>
      </w:r>
      <w:bookmarkEnd w:id="17"/>
    </w:p>
    <w:p w14:paraId="7B62A603" w14:textId="35DF07F3" w:rsidR="002F3772" w:rsidRPr="006909C9" w:rsidRDefault="002F3772" w:rsidP="002F3772">
      <w:r w:rsidRPr="006909C9">
        <w:t xml:space="preserve">Compliance with the Safeguard </w:t>
      </w:r>
      <w:r w:rsidRPr="00E538FE">
        <w:t>Mechanism</w:t>
      </w:r>
      <w:r w:rsidRPr="006909C9">
        <w:t xml:space="preserve"> was again </w:t>
      </w:r>
      <w:r w:rsidRPr="00860DF0">
        <w:t>high</w:t>
      </w:r>
      <w:r w:rsidRPr="006909C9">
        <w:t xml:space="preserve">, with </w:t>
      </w:r>
      <w:r w:rsidR="00BA0F77" w:rsidRPr="00860DF0">
        <w:t>20</w:t>
      </w:r>
      <w:r w:rsidR="00BA0F77">
        <w:t>5</w:t>
      </w:r>
      <w:r w:rsidR="00BA0F77" w:rsidRPr="006909C9">
        <w:t xml:space="preserve"> </w:t>
      </w:r>
      <w:r w:rsidRPr="006909C9">
        <w:t>(</w:t>
      </w:r>
      <w:r w:rsidRPr="00860DF0">
        <w:t>98.6%</w:t>
      </w:r>
      <w:r w:rsidRPr="006909C9">
        <w:t xml:space="preserve">) of the </w:t>
      </w:r>
      <w:r w:rsidR="00BA0F77" w:rsidRPr="00860DF0">
        <w:t>20</w:t>
      </w:r>
      <w:r w:rsidR="00BA0F77">
        <w:t>8</w:t>
      </w:r>
      <w:r w:rsidR="00BA0F77" w:rsidRPr="006909C9">
        <w:t xml:space="preserve"> </w:t>
      </w:r>
      <w:r w:rsidRPr="006909C9">
        <w:t xml:space="preserve">covered facilities </w:t>
      </w:r>
      <w:r w:rsidR="0094364C">
        <w:t xml:space="preserve">being compliant with the requirement to </w:t>
      </w:r>
      <w:r w:rsidRPr="006909C9">
        <w:t xml:space="preserve">not be in an excess emissions situation on the compliance deadline of 1 April 2026. </w:t>
      </w:r>
    </w:p>
    <w:p w14:paraId="1287B66E" w14:textId="52C8368B" w:rsidR="002F3772" w:rsidRDefault="00380055" w:rsidP="002F3772">
      <w:r>
        <w:t xml:space="preserve">There were </w:t>
      </w:r>
      <w:r w:rsidR="002F3772" w:rsidRPr="00860DF0">
        <w:t>3</w:t>
      </w:r>
      <w:r w:rsidR="002F3772" w:rsidRPr="006909C9">
        <w:t xml:space="preserve"> facilities under the operational control of </w:t>
      </w:r>
      <w:r w:rsidR="002F3772" w:rsidRPr="00860DF0">
        <w:t>3</w:t>
      </w:r>
      <w:r w:rsidR="002F3772" w:rsidRPr="006909C9">
        <w:t xml:space="preserve"> responsible emitters (all of which are related to </w:t>
      </w:r>
      <w:r w:rsidR="00A732DB">
        <w:t>1</w:t>
      </w:r>
      <w:r w:rsidR="002F3772" w:rsidRPr="006909C9">
        <w:t xml:space="preserve"> corporate group) </w:t>
      </w:r>
      <w:r>
        <w:t xml:space="preserve">that </w:t>
      </w:r>
      <w:r w:rsidR="002F3772" w:rsidRPr="006909C9">
        <w:t xml:space="preserve">did not meet the surrender deadline, resulting in excess emissions situations totalling </w:t>
      </w:r>
      <w:r w:rsidR="00203F5B" w:rsidRPr="00203F5B">
        <w:t>317,212</w:t>
      </w:r>
      <w:r w:rsidR="00124218">
        <w:t xml:space="preserve"> </w:t>
      </w:r>
      <w:r w:rsidR="002F3772">
        <w:t>t</w:t>
      </w:r>
      <w:r w:rsidR="002F3772" w:rsidRPr="006909C9">
        <w:t>CO</w:t>
      </w:r>
      <w:r w:rsidR="002F3772" w:rsidRPr="006909C9">
        <w:rPr>
          <w:vertAlign w:val="subscript"/>
        </w:rPr>
        <w:t>2</w:t>
      </w:r>
      <w:r w:rsidR="002F3772" w:rsidRPr="006909C9">
        <w:t>-</w:t>
      </w:r>
      <w:r w:rsidR="00203F5B" w:rsidRPr="00203F5B">
        <w:t>e</w:t>
      </w:r>
      <w:r w:rsidR="004E51C0">
        <w:t xml:space="preserve"> </w:t>
      </w:r>
      <w:r w:rsidR="002F3772" w:rsidRPr="006909C9">
        <w:t xml:space="preserve">on 1 April. </w:t>
      </w:r>
      <w:r w:rsidR="002F3772" w:rsidRPr="00D43206">
        <w:t xml:space="preserve">Of those responsible emitters, </w:t>
      </w:r>
      <w:r w:rsidR="007B1655">
        <w:t>1</w:t>
      </w:r>
      <w:r w:rsidR="002F3772" w:rsidRPr="00D43206">
        <w:t xml:space="preserve"> is in liquidation and </w:t>
      </w:r>
      <w:r w:rsidR="007E0AEF">
        <w:t>2</w:t>
      </w:r>
      <w:r w:rsidR="002F3772" w:rsidRPr="00D43206">
        <w:t xml:space="preserve"> are in administration</w:t>
      </w:r>
      <w:r w:rsidR="002F3772" w:rsidRPr="006909C9">
        <w:t xml:space="preserve">. </w:t>
      </w:r>
    </w:p>
    <w:tbl>
      <w:tblPr>
        <w:tblStyle w:val="CERCallout"/>
        <w:tblW w:w="5000" w:type="pct"/>
        <w:tblLook w:val="0600" w:firstRow="0" w:lastRow="0" w:firstColumn="0" w:lastColumn="0" w:noHBand="1" w:noVBand="1"/>
        <w:tblCaption w:val="test"/>
        <w:tblDescription w:val="tesst"/>
      </w:tblPr>
      <w:tblGrid>
        <w:gridCol w:w="9710"/>
      </w:tblGrid>
      <w:tr w:rsidR="00DF0A2C" w14:paraId="1F37253E" w14:textId="77777777" w:rsidTr="007F59FB">
        <w:trPr>
          <w:cantSplit w:val="0"/>
        </w:trPr>
        <w:tc>
          <w:tcPr>
            <w:tcW w:w="5000" w:type="pct"/>
          </w:tcPr>
          <w:p w14:paraId="497817D5" w14:textId="72E46A13" w:rsidR="00F609D6" w:rsidRPr="0092568B" w:rsidRDefault="00F609D6" w:rsidP="00BA0F77">
            <w:pPr>
              <w:pStyle w:val="CERbullets"/>
              <w:numPr>
                <w:ilvl w:val="0"/>
                <w:numId w:val="0"/>
              </w:numPr>
              <w:spacing w:after="0"/>
            </w:pPr>
            <w:r>
              <w:t>Further detai</w:t>
            </w:r>
            <w:r w:rsidR="00E63699">
              <w:t>l</w:t>
            </w:r>
            <w:r>
              <w:t xml:space="preserve">s are published in the </w:t>
            </w:r>
            <w:hyperlink r:id="rId14" w:anchor="excess-emissions-situation-table" w:history="1">
              <w:r w:rsidR="006635A5">
                <w:rPr>
                  <w:rStyle w:val="Hyperlink"/>
                  <w:rFonts w:asciiTheme="minorHAnsi" w:hAnsiTheme="minorHAnsi"/>
                </w:rPr>
                <w:t>e</w:t>
              </w:r>
              <w:r w:rsidR="00E63699" w:rsidRPr="004531C6">
                <w:rPr>
                  <w:rStyle w:val="Hyperlink"/>
                  <w:rFonts w:asciiTheme="minorHAnsi" w:hAnsiTheme="minorHAnsi"/>
                </w:rPr>
                <w:t xml:space="preserve">xcess </w:t>
              </w:r>
              <w:r w:rsidR="006635A5">
                <w:rPr>
                  <w:rStyle w:val="Hyperlink"/>
                  <w:rFonts w:asciiTheme="minorHAnsi" w:hAnsiTheme="minorHAnsi"/>
                </w:rPr>
                <w:t>e</w:t>
              </w:r>
              <w:r w:rsidR="00E63699" w:rsidRPr="004531C6">
                <w:rPr>
                  <w:rStyle w:val="Hyperlink"/>
                  <w:rFonts w:asciiTheme="minorHAnsi" w:hAnsiTheme="minorHAnsi"/>
                </w:rPr>
                <w:t xml:space="preserve">missions </w:t>
              </w:r>
              <w:r w:rsidR="006635A5">
                <w:rPr>
                  <w:rStyle w:val="Hyperlink"/>
                  <w:rFonts w:asciiTheme="minorHAnsi" w:hAnsiTheme="minorHAnsi"/>
                </w:rPr>
                <w:t>s</w:t>
              </w:r>
              <w:r w:rsidR="00E63699" w:rsidRPr="004531C6">
                <w:rPr>
                  <w:rStyle w:val="Hyperlink"/>
                  <w:rFonts w:asciiTheme="minorHAnsi" w:hAnsiTheme="minorHAnsi"/>
                </w:rPr>
                <w:t>ituations</w:t>
              </w:r>
              <w:r w:rsidRPr="004531C6">
                <w:rPr>
                  <w:rStyle w:val="Hyperlink"/>
                  <w:rFonts w:asciiTheme="minorHAnsi" w:hAnsiTheme="minorHAnsi"/>
                </w:rPr>
                <w:t xml:space="preserve"> table</w:t>
              </w:r>
            </w:hyperlink>
            <w:r w:rsidR="00405B65">
              <w:rPr>
                <w:rStyle w:val="FootnoteReference"/>
              </w:rPr>
              <w:footnoteReference w:id="10"/>
            </w:r>
            <w:r>
              <w:t xml:space="preserve">. </w:t>
            </w:r>
          </w:p>
        </w:tc>
      </w:tr>
    </w:tbl>
    <w:p w14:paraId="7335295B" w14:textId="0D433491" w:rsidR="00BE6C93" w:rsidRDefault="002F3772" w:rsidP="00B05025">
      <w:pPr>
        <w:spacing w:before="240"/>
      </w:pPr>
      <w:r w:rsidRPr="006909C9">
        <w:t xml:space="preserve">The CER </w:t>
      </w:r>
      <w:r w:rsidR="00305749">
        <w:t xml:space="preserve">takes all non-compliance seriously and </w:t>
      </w:r>
      <w:r w:rsidR="00E771FA">
        <w:t>is considering</w:t>
      </w:r>
      <w:r w:rsidRPr="006909C9">
        <w:t xml:space="preserve"> </w:t>
      </w:r>
      <w:r w:rsidR="0071365C">
        <w:t>appropriate</w:t>
      </w:r>
      <w:r w:rsidR="00305749">
        <w:t xml:space="preserve"> </w:t>
      </w:r>
      <w:r w:rsidR="002624A8">
        <w:t xml:space="preserve">and </w:t>
      </w:r>
      <w:r w:rsidR="00F87F8B">
        <w:t>prop</w:t>
      </w:r>
      <w:r w:rsidR="004F162F">
        <w:t>ortionate</w:t>
      </w:r>
      <w:r w:rsidR="002624A8">
        <w:t xml:space="preserve"> </w:t>
      </w:r>
      <w:r w:rsidR="00BD64B9">
        <w:t>response</w:t>
      </w:r>
      <w:r w:rsidR="002624A8">
        <w:t>s</w:t>
      </w:r>
      <w:r w:rsidR="00305749">
        <w:t xml:space="preserve"> </w:t>
      </w:r>
      <w:r w:rsidR="007B3841">
        <w:t>to each instance of non</w:t>
      </w:r>
      <w:r w:rsidR="007C1984">
        <w:t>-</w:t>
      </w:r>
      <w:r w:rsidR="007B3841">
        <w:t>compliance</w:t>
      </w:r>
      <w:r w:rsidR="00BC01C7">
        <w:t xml:space="preserve"> on a case</w:t>
      </w:r>
      <w:r w:rsidR="003C2CBB">
        <w:t>-</w:t>
      </w:r>
      <w:r w:rsidR="00BC01C7">
        <w:t>by</w:t>
      </w:r>
      <w:r w:rsidR="003C2CBB">
        <w:t>-</w:t>
      </w:r>
      <w:r w:rsidR="00BC01C7">
        <w:t>case basis</w:t>
      </w:r>
      <w:r w:rsidR="000638E5">
        <w:t>.</w:t>
      </w:r>
      <w:r w:rsidR="00BE6C93" w:rsidRPr="00BE6C93">
        <w:t xml:space="preserve"> </w:t>
      </w:r>
      <w:r w:rsidR="00161C57">
        <w:t>We</w:t>
      </w:r>
      <w:r w:rsidR="00BC01C7">
        <w:t xml:space="preserve"> publish </w:t>
      </w:r>
      <w:r w:rsidR="009C30C1">
        <w:t>our</w:t>
      </w:r>
      <w:r w:rsidR="007C1984">
        <w:t xml:space="preserve"> annual </w:t>
      </w:r>
      <w:hyperlink r:id="rId15" w:history="1">
        <w:r w:rsidR="007C1984">
          <w:rPr>
            <w:rStyle w:val="Hyperlink"/>
            <w:rFonts w:asciiTheme="minorHAnsi" w:hAnsiTheme="minorHAnsi"/>
          </w:rPr>
          <w:t>compliance</w:t>
        </w:r>
        <w:r w:rsidR="00676B91" w:rsidRPr="00676B91">
          <w:rPr>
            <w:rStyle w:val="Hyperlink"/>
            <w:rFonts w:asciiTheme="minorHAnsi" w:hAnsiTheme="minorHAnsi"/>
          </w:rPr>
          <w:t xml:space="preserve"> and enforcement priorities </w:t>
        </w:r>
        <w:r w:rsidR="007C1984">
          <w:rPr>
            <w:rStyle w:val="Hyperlink"/>
            <w:rFonts w:asciiTheme="minorHAnsi" w:hAnsiTheme="minorHAnsi"/>
          </w:rPr>
          <w:t>and quarterly updates</w:t>
        </w:r>
      </w:hyperlink>
      <w:r w:rsidR="00133C2A">
        <w:rPr>
          <w:rStyle w:val="FootnoteReference"/>
        </w:rPr>
        <w:footnoteReference w:id="11"/>
      </w:r>
      <w:r w:rsidR="00133C2A" w:rsidRPr="00B56636">
        <w:t xml:space="preserve"> </w:t>
      </w:r>
      <w:r w:rsidR="007C1984">
        <w:t>on our website.</w:t>
      </w:r>
      <w:r w:rsidR="00B56636" w:rsidRPr="00B56636">
        <w:t xml:space="preserve"> </w:t>
      </w:r>
    </w:p>
    <w:p w14:paraId="4BC105CF" w14:textId="3A4D4B1B" w:rsidR="00433647" w:rsidRPr="005354B6" w:rsidRDefault="00000385" w:rsidP="00C62F0A">
      <w:pPr>
        <w:pStyle w:val="Heading2"/>
      </w:pPr>
      <w:bookmarkStart w:id="18" w:name="_Toc227062068"/>
      <w:r>
        <w:t>Declining baselines maintain</w:t>
      </w:r>
      <w:r w:rsidR="00433647" w:rsidRPr="005354B6">
        <w:t xml:space="preserve"> downward pressure on emissions</w:t>
      </w:r>
      <w:bookmarkEnd w:id="16"/>
      <w:bookmarkEnd w:id="18"/>
    </w:p>
    <w:tbl>
      <w:tblPr>
        <w:tblStyle w:val="CERCallout"/>
        <w:tblW w:w="5000" w:type="pct"/>
        <w:tblLook w:val="0600" w:firstRow="0" w:lastRow="0" w:firstColumn="0" w:lastColumn="0" w:noHBand="1" w:noVBand="1"/>
        <w:tblCaption w:val="test"/>
        <w:tblDescription w:val="tesst"/>
      </w:tblPr>
      <w:tblGrid>
        <w:gridCol w:w="9710"/>
      </w:tblGrid>
      <w:tr w:rsidR="00DF0A2C" w14:paraId="276E8227" w14:textId="77777777">
        <w:trPr>
          <w:cantSplit w:val="0"/>
        </w:trPr>
        <w:tc>
          <w:tcPr>
            <w:tcW w:w="5000" w:type="pct"/>
          </w:tcPr>
          <w:p w14:paraId="30E00E6A" w14:textId="0883D024" w:rsidR="00E77FB4" w:rsidRDefault="001878DF" w:rsidP="00C74A1D">
            <w:pPr>
              <w:pStyle w:val="CERbullets"/>
              <w:numPr>
                <w:ilvl w:val="0"/>
                <w:numId w:val="0"/>
              </w:numPr>
              <w:spacing w:after="0"/>
            </w:pPr>
            <w:r>
              <w:t xml:space="preserve">Each Safeguard facility’s baseline is published in the </w:t>
            </w:r>
            <w:hyperlink r:id="rId16" w:anchor="baselines-and-emissions-table" w:history="1">
              <w:r w:rsidR="00B730FD">
                <w:rPr>
                  <w:rStyle w:val="Hyperlink"/>
                  <w:rFonts w:asciiTheme="minorHAnsi" w:hAnsiTheme="minorHAnsi"/>
                </w:rPr>
                <w:t>b</w:t>
              </w:r>
              <w:r w:rsidRPr="00A31381">
                <w:rPr>
                  <w:rStyle w:val="Hyperlink"/>
                  <w:rFonts w:asciiTheme="minorHAnsi" w:hAnsiTheme="minorHAnsi"/>
                </w:rPr>
                <w:t xml:space="preserve">aselines and </w:t>
              </w:r>
              <w:r w:rsidR="00B730FD">
                <w:rPr>
                  <w:rStyle w:val="Hyperlink"/>
                  <w:rFonts w:asciiTheme="minorHAnsi" w:hAnsiTheme="minorHAnsi"/>
                </w:rPr>
                <w:t>e</w:t>
              </w:r>
              <w:r w:rsidRPr="00A31381">
                <w:rPr>
                  <w:rStyle w:val="Hyperlink"/>
                  <w:rFonts w:asciiTheme="minorHAnsi" w:hAnsiTheme="minorHAnsi"/>
                </w:rPr>
                <w:t>missions table</w:t>
              </w:r>
            </w:hyperlink>
            <w:r w:rsidR="00A61D7A">
              <w:rPr>
                <w:rStyle w:val="FootnoteReference"/>
              </w:rPr>
              <w:footnoteReference w:id="12"/>
            </w:r>
            <w:r>
              <w:t>.</w:t>
            </w:r>
            <w:r w:rsidR="00E77FB4">
              <w:t xml:space="preserve"> </w:t>
            </w:r>
          </w:p>
          <w:p w14:paraId="4999AC29" w14:textId="0C8D69F1" w:rsidR="001878DF" w:rsidRPr="0092568B" w:rsidRDefault="00E77FB4" w:rsidP="00C62F0A">
            <w:pPr>
              <w:pStyle w:val="CERbullets"/>
              <w:numPr>
                <w:ilvl w:val="0"/>
                <w:numId w:val="0"/>
              </w:numPr>
              <w:spacing w:after="0"/>
            </w:pPr>
            <w:r>
              <w:t xml:space="preserve">Details of facilities whose baseline is calculated </w:t>
            </w:r>
            <w:r w:rsidR="001E18FE">
              <w:t>using</w:t>
            </w:r>
            <w:r>
              <w:t xml:space="preserve"> a facility-specific emissions intensity under an emissions-intensity determination (EID) are published in the </w:t>
            </w:r>
            <w:hyperlink r:id="rId17" w:anchor="emissions-intensity-determinations-table" w:history="1">
              <w:r w:rsidRPr="00CE29A9">
                <w:rPr>
                  <w:rStyle w:val="Hyperlink"/>
                  <w:rFonts w:asciiTheme="minorHAnsi" w:hAnsiTheme="minorHAnsi"/>
                </w:rPr>
                <w:t>EID table</w:t>
              </w:r>
            </w:hyperlink>
            <w:r w:rsidR="00A61D7A">
              <w:rPr>
                <w:rStyle w:val="FootnoteReference"/>
              </w:rPr>
              <w:footnoteReference w:id="13"/>
            </w:r>
            <w:r>
              <w:t>.</w:t>
            </w:r>
          </w:p>
        </w:tc>
      </w:tr>
    </w:tbl>
    <w:p w14:paraId="4EB95E76" w14:textId="3EEB03E2" w:rsidR="00433647" w:rsidRDefault="00433647" w:rsidP="00C62F0A">
      <w:pPr>
        <w:spacing w:before="240"/>
      </w:pPr>
      <w:r>
        <w:lastRenderedPageBreak/>
        <w:t xml:space="preserve">Following the 2023 reforms, </w:t>
      </w:r>
      <w:hyperlink r:id="rId18" w:anchor="standard-baseline" w:history="1">
        <w:r w:rsidRPr="008710D8">
          <w:rPr>
            <w:rStyle w:val="Hyperlink"/>
            <w:rFonts w:asciiTheme="minorHAnsi" w:hAnsiTheme="minorHAnsi"/>
          </w:rPr>
          <w:t>baselines</w:t>
        </w:r>
      </w:hyperlink>
      <w:r w:rsidR="008710D8">
        <w:rPr>
          <w:rStyle w:val="FootnoteReference"/>
        </w:rPr>
        <w:footnoteReference w:id="14"/>
      </w:r>
      <w:r>
        <w:t xml:space="preserve"> were recalculated and the 4.9% baseline decline rate was applied to most facilities</w:t>
      </w:r>
      <w:r w:rsidR="00CF5C4F">
        <w:rPr>
          <w:rStyle w:val="FootnoteReference"/>
        </w:rPr>
        <w:footnoteReference w:id="15"/>
      </w:r>
      <w:r>
        <w:t xml:space="preserve">. </w:t>
      </w:r>
      <w:r w:rsidR="00606A92">
        <w:t>I</w:t>
      </w:r>
      <w:r>
        <w:t>n 2023–24</w:t>
      </w:r>
      <w:r w:rsidR="00976DF4">
        <w:t>,</w:t>
      </w:r>
      <w:r>
        <w:t xml:space="preserve"> the remaining difference between total covered emissions and total baselines across the scheme (referred to as </w:t>
      </w:r>
      <w:r w:rsidRPr="00FB03B5">
        <w:rPr>
          <w:bCs/>
        </w:rPr>
        <w:t>aggregate headroom</w:t>
      </w:r>
      <w:r>
        <w:t>) was almost completely removed.</w:t>
      </w:r>
    </w:p>
    <w:p w14:paraId="3BEE503D" w14:textId="0A07B601" w:rsidR="00F86E98" w:rsidRPr="00F86E98" w:rsidRDefault="00433647" w:rsidP="00F86E98">
      <w:r>
        <w:t>2024–25</w:t>
      </w:r>
      <w:r w:rsidR="006657FF">
        <w:t xml:space="preserve"> was the first time that</w:t>
      </w:r>
      <w:r>
        <w:t xml:space="preserve"> total covered emissions were higher than total baselines, </w:t>
      </w:r>
      <w:r w:rsidR="002314F0">
        <w:t xml:space="preserve">meaning </w:t>
      </w:r>
      <w:r w:rsidR="006657FF">
        <w:t>aggregate headroom was removed</w:t>
      </w:r>
      <w:r>
        <w:t xml:space="preserve">. </w:t>
      </w:r>
      <w:r w:rsidRPr="000C3666">
        <w:t>As baseline</w:t>
      </w:r>
      <w:r>
        <w:t>s continue to</w:t>
      </w:r>
      <w:r w:rsidRPr="000C3666">
        <w:t xml:space="preserve"> decline each year</w:t>
      </w:r>
      <w:r w:rsidR="00C62F0A">
        <w:t>,</w:t>
      </w:r>
      <w:r w:rsidRPr="000C3666">
        <w:t xml:space="preserve"> downward pressure on </w:t>
      </w:r>
      <w:r>
        <w:t xml:space="preserve">net </w:t>
      </w:r>
      <w:r w:rsidRPr="000C3666">
        <w:t>emissions will continue</w:t>
      </w:r>
      <w:r w:rsidR="00255F56">
        <w:t>,</w:t>
      </w:r>
      <w:r w:rsidRPr="00DD1166">
        <w:t xml:space="preserve"> </w:t>
      </w:r>
      <w:r w:rsidR="00255F56">
        <w:t>t</w:t>
      </w:r>
      <w:r w:rsidR="79144D2C">
        <w:t>hereby requiring greater us</w:t>
      </w:r>
      <w:r w:rsidR="009A0E55">
        <w:t>e</w:t>
      </w:r>
      <w:r w:rsidR="79144D2C">
        <w:t xml:space="preserve"> of ACCUs and SMCs and </w:t>
      </w:r>
      <w:r w:rsidR="001E61B5">
        <w:t xml:space="preserve">incentivising </w:t>
      </w:r>
      <w:r w:rsidR="001E61B5" w:rsidRPr="00BC70AE">
        <w:t>further</w:t>
      </w:r>
      <w:r w:rsidR="001E61B5">
        <w:t xml:space="preserve"> decarbonisation</w:t>
      </w:r>
      <w:r>
        <w:t xml:space="preserve">. </w:t>
      </w:r>
    </w:p>
    <w:p w14:paraId="533D3E8F" w14:textId="49200FE8" w:rsidR="00433647" w:rsidRPr="009A4ADD" w:rsidRDefault="00433647" w:rsidP="001A06E4">
      <w:pPr>
        <w:pStyle w:val="Caption"/>
        <w:keepNext/>
        <w:rPr>
          <w:i w:val="0"/>
          <w:iCs w:val="0"/>
        </w:rPr>
      </w:pPr>
      <w:r w:rsidRPr="009A4ADD">
        <w:rPr>
          <w:i w:val="0"/>
          <w:iCs w:val="0"/>
        </w:rPr>
        <w:t>Graph 1: Cumulative baselines and emissions</w:t>
      </w:r>
    </w:p>
    <w:p w14:paraId="227FB98E" w14:textId="4B68D60B" w:rsidR="00B11A91" w:rsidRDefault="008500F5" w:rsidP="00FC6389">
      <w:pPr>
        <w:rPr>
          <w:color w:val="auto"/>
        </w:rPr>
      </w:pPr>
      <w:r>
        <w:rPr>
          <w:noProof/>
          <w:color w:val="auto"/>
        </w:rPr>
        <w:drawing>
          <wp:inline distT="0" distB="0" distL="0" distR="0" wp14:anchorId="6F69D47E" wp14:editId="518B75D7">
            <wp:extent cx="6062443" cy="3563464"/>
            <wp:effectExtent l="0" t="0" r="0" b="0"/>
            <wp:docPr id="16939941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94104" name="Picture 3"/>
                    <pic:cNvPicPr>
                      <a:picLocks noChangeAspect="1" noChangeArrowheads="1"/>
                    </pic:cNvPicPr>
                  </pic:nvPicPr>
                  <pic:blipFill>
                    <a:blip r:embed="rId19">
                      <a:extLst>
                        <a:ext uri="{96DAC541-7B7A-43D3-8B79-37D633B846F1}">
                          <asvg:svgBlip xmlns:asvg="http://schemas.microsoft.com/office/drawing/2016/SVG/main" r:embed="rId20"/>
                        </a:ext>
                      </a:extLst>
                    </a:blip>
                    <a:stretch>
                      <a:fillRect/>
                    </a:stretch>
                  </pic:blipFill>
                  <pic:spPr bwMode="auto">
                    <a:xfrm>
                      <a:off x="0" y="0"/>
                      <a:ext cx="6062443" cy="3563464"/>
                    </a:xfrm>
                    <a:prstGeom prst="rect">
                      <a:avLst/>
                    </a:prstGeom>
                  </pic:spPr>
                </pic:pic>
              </a:graphicData>
            </a:graphic>
          </wp:inline>
        </w:drawing>
      </w:r>
    </w:p>
    <w:p w14:paraId="31DA2E77" w14:textId="08CB3325" w:rsidR="00A30110" w:rsidRPr="00FC6389" w:rsidRDefault="00433647" w:rsidP="00FC6389">
      <w:r w:rsidRPr="003D3F94">
        <w:rPr>
          <w:color w:val="auto"/>
        </w:rPr>
        <w:t>In 2024–25</w:t>
      </w:r>
      <w:r>
        <w:rPr>
          <w:color w:val="auto"/>
        </w:rPr>
        <w:t>,</w:t>
      </w:r>
      <w:r w:rsidRPr="003D3F94">
        <w:rPr>
          <w:color w:val="auto"/>
        </w:rPr>
        <w:t xml:space="preserve"> </w:t>
      </w:r>
      <w:r w:rsidRPr="00346D15">
        <w:rPr>
          <w:color w:val="auto"/>
        </w:rPr>
        <w:t xml:space="preserve">the </w:t>
      </w:r>
      <w:r w:rsidR="00FB46A6">
        <w:rPr>
          <w:color w:val="auto"/>
        </w:rPr>
        <w:t xml:space="preserve">total amount by which covered emissions exceeded baselines across the scheme </w:t>
      </w:r>
      <w:r>
        <w:rPr>
          <w:color w:val="auto"/>
        </w:rPr>
        <w:t>(</w:t>
      </w:r>
      <w:r w:rsidRPr="00C265DD">
        <w:rPr>
          <w:color w:val="auto"/>
        </w:rPr>
        <w:t>total excesses</w:t>
      </w:r>
      <w:r>
        <w:rPr>
          <w:color w:val="auto"/>
        </w:rPr>
        <w:t>)</w:t>
      </w:r>
      <w:r w:rsidRPr="003D3F94">
        <w:rPr>
          <w:color w:val="auto"/>
        </w:rPr>
        <w:t xml:space="preserve"> increase</w:t>
      </w:r>
      <w:r w:rsidRPr="00144DA2">
        <w:rPr>
          <w:color w:val="auto"/>
        </w:rPr>
        <w:t xml:space="preserve">d by </w:t>
      </w:r>
      <w:r w:rsidR="000E38E1">
        <w:rPr>
          <w:color w:val="auto"/>
        </w:rPr>
        <w:t>48.8</w:t>
      </w:r>
      <w:r w:rsidRPr="00144DA2">
        <w:rPr>
          <w:color w:val="auto"/>
        </w:rPr>
        <w:t>% from</w:t>
      </w:r>
      <w:r w:rsidRPr="00346D15">
        <w:rPr>
          <w:color w:val="auto"/>
        </w:rPr>
        <w:t xml:space="preserve"> 2023–24. Rising </w:t>
      </w:r>
      <w:r w:rsidR="00394FFB">
        <w:rPr>
          <w:color w:val="auto"/>
        </w:rPr>
        <w:t>excesses</w:t>
      </w:r>
      <w:r w:rsidR="00394FFB" w:rsidRPr="00346D15">
        <w:rPr>
          <w:color w:val="auto"/>
        </w:rPr>
        <w:t xml:space="preserve"> </w:t>
      </w:r>
      <w:r w:rsidRPr="00346D15">
        <w:rPr>
          <w:color w:val="auto"/>
        </w:rPr>
        <w:t xml:space="preserve">are a likely outcome of </w:t>
      </w:r>
      <w:r w:rsidRPr="00346D15" w:rsidDel="0015610A">
        <w:rPr>
          <w:color w:val="auto"/>
        </w:rPr>
        <w:t xml:space="preserve">the </w:t>
      </w:r>
      <w:r w:rsidRPr="00346D15">
        <w:rPr>
          <w:color w:val="auto"/>
        </w:rPr>
        <w:t xml:space="preserve">continued baseline decline and the removal of </w:t>
      </w:r>
      <w:r>
        <w:rPr>
          <w:color w:val="auto"/>
        </w:rPr>
        <w:t xml:space="preserve">aggregate </w:t>
      </w:r>
      <w:r w:rsidRPr="00346D15">
        <w:rPr>
          <w:color w:val="auto"/>
        </w:rPr>
        <w:t xml:space="preserve">headroom. </w:t>
      </w:r>
    </w:p>
    <w:p w14:paraId="774C1FC9" w14:textId="3A428FCC" w:rsidR="00433647" w:rsidRPr="007E657E" w:rsidRDefault="00A30110" w:rsidP="00B81B4D">
      <w:pPr>
        <w:spacing w:before="240"/>
      </w:pPr>
      <w:r>
        <w:t>Total baselines for 2024–25 wer</w:t>
      </w:r>
      <w:r w:rsidRPr="00CB2AE9">
        <w:t>e 7.3%</w:t>
      </w:r>
      <w:r w:rsidRPr="00301126">
        <w:t xml:space="preserve"> </w:t>
      </w:r>
      <w:r>
        <w:t>lower than for</w:t>
      </w:r>
      <w:r w:rsidRPr="00301126">
        <w:t xml:space="preserve"> 2023–24</w:t>
      </w:r>
      <w:r>
        <w:t xml:space="preserve">, reflecting the application of the decline rate, changes in which facilities are covered by the Safeguard Mechanism and changes to individual facilities’ production. </w:t>
      </w:r>
    </w:p>
    <w:p w14:paraId="14E67C35" w14:textId="77777777" w:rsidR="00AA3D22" w:rsidRDefault="00AA3D22">
      <w:pPr>
        <w:spacing w:after="0"/>
        <w:rPr>
          <w:color w:val="auto"/>
        </w:rPr>
      </w:pPr>
      <w:r>
        <w:rPr>
          <w:color w:val="auto"/>
        </w:rPr>
        <w:br w:type="page"/>
      </w:r>
    </w:p>
    <w:p w14:paraId="26EAA749" w14:textId="04AA50B2" w:rsidR="00433647" w:rsidRDefault="00433647" w:rsidP="00B81B4D">
      <w:pPr>
        <w:spacing w:before="240"/>
        <w:rPr>
          <w:color w:val="auto"/>
        </w:rPr>
      </w:pPr>
      <w:r w:rsidRPr="00346D15">
        <w:rPr>
          <w:color w:val="auto"/>
        </w:rPr>
        <w:lastRenderedPageBreak/>
        <w:t xml:space="preserve">Despite </w:t>
      </w:r>
      <w:r w:rsidRPr="00FC426D">
        <w:rPr>
          <w:color w:val="auto"/>
        </w:rPr>
        <w:t>total covered emissions modestly reducin</w:t>
      </w:r>
      <w:r w:rsidRPr="004407ED">
        <w:rPr>
          <w:color w:val="auto"/>
        </w:rPr>
        <w:t>g by 3.2 Mt</w:t>
      </w:r>
      <w:r w:rsidRPr="00FC426D">
        <w:rPr>
          <w:color w:val="auto"/>
        </w:rPr>
        <w:t xml:space="preserve"> CO</w:t>
      </w:r>
      <w:r w:rsidRPr="00DD39A3">
        <w:rPr>
          <w:color w:val="auto"/>
          <w:vertAlign w:val="subscript"/>
        </w:rPr>
        <w:t>2</w:t>
      </w:r>
      <w:r w:rsidRPr="00FC426D">
        <w:rPr>
          <w:color w:val="auto"/>
        </w:rPr>
        <w:t xml:space="preserve">-e in 2024–25, aggregate baselines fell more sharply by </w:t>
      </w:r>
      <w:r w:rsidR="00897AF7">
        <w:rPr>
          <w:color w:val="auto"/>
        </w:rPr>
        <w:t>9.9</w:t>
      </w:r>
      <w:r w:rsidRPr="00FC426D">
        <w:rPr>
          <w:color w:val="auto"/>
        </w:rPr>
        <w:t xml:space="preserve"> Mt CO</w:t>
      </w:r>
      <w:r w:rsidRPr="00FC426D">
        <w:rPr>
          <w:color w:val="auto"/>
          <w:vertAlign w:val="subscript"/>
        </w:rPr>
        <w:t>2</w:t>
      </w:r>
      <w:r w:rsidRPr="00FC426D">
        <w:rPr>
          <w:color w:val="auto"/>
        </w:rPr>
        <w:t>-e</w:t>
      </w:r>
      <w:r>
        <w:rPr>
          <w:color w:val="auto"/>
        </w:rPr>
        <w:t>. This indicates</w:t>
      </w:r>
      <w:r w:rsidR="00B26CC0">
        <w:rPr>
          <w:color w:val="auto"/>
        </w:rPr>
        <w:t xml:space="preserve"> higher </w:t>
      </w:r>
      <w:r w:rsidR="00E14953">
        <w:rPr>
          <w:color w:val="auto"/>
        </w:rPr>
        <w:t>excesses</w:t>
      </w:r>
      <w:r w:rsidR="00E14953" w:rsidRPr="00C63446">
        <w:rPr>
          <w:color w:val="auto"/>
        </w:rPr>
        <w:t xml:space="preserve"> </w:t>
      </w:r>
      <w:r w:rsidR="00B136C8">
        <w:rPr>
          <w:color w:val="auto"/>
        </w:rPr>
        <w:t>are not driven by</w:t>
      </w:r>
      <w:r w:rsidR="00B136C8" w:rsidDel="00B136C8">
        <w:rPr>
          <w:color w:val="auto"/>
        </w:rPr>
        <w:t xml:space="preserve"> </w:t>
      </w:r>
      <w:r w:rsidR="00B26CC0" w:rsidRPr="00C63446">
        <w:rPr>
          <w:color w:val="auto"/>
        </w:rPr>
        <w:t>facilities emitting more,</w:t>
      </w:r>
      <w:r w:rsidRPr="00C63446">
        <w:rPr>
          <w:color w:val="auto"/>
        </w:rPr>
        <w:t xml:space="preserve"> but because </w:t>
      </w:r>
      <w:r w:rsidRPr="00C63446" w:rsidDel="00C5466B">
        <w:rPr>
          <w:color w:val="auto"/>
        </w:rPr>
        <w:t xml:space="preserve">baselines </w:t>
      </w:r>
      <w:r>
        <w:rPr>
          <w:color w:val="auto"/>
        </w:rPr>
        <w:t>are declining</w:t>
      </w:r>
      <w:r w:rsidRPr="00C63446">
        <w:rPr>
          <w:color w:val="auto"/>
        </w:rPr>
        <w:t xml:space="preserve"> faster than emissions are falling</w:t>
      </w:r>
      <w:r w:rsidRPr="00B17242">
        <w:rPr>
          <w:color w:val="auto"/>
        </w:rPr>
        <w:t xml:space="preserve">. </w:t>
      </w:r>
      <w:r w:rsidR="5126D763" w:rsidRPr="00B17242">
        <w:rPr>
          <w:color w:val="auto"/>
        </w:rPr>
        <w:t xml:space="preserve">Over time this creates a progressively stronger </w:t>
      </w:r>
      <w:r w:rsidRPr="00076D4D">
        <w:rPr>
          <w:color w:val="auto"/>
        </w:rPr>
        <w:t xml:space="preserve">incentive </w:t>
      </w:r>
      <w:r w:rsidR="00EC13DB">
        <w:rPr>
          <w:color w:val="auto"/>
        </w:rPr>
        <w:t xml:space="preserve">for emitters </w:t>
      </w:r>
      <w:r w:rsidRPr="00076D4D">
        <w:rPr>
          <w:color w:val="auto"/>
        </w:rPr>
        <w:t>to invest in onsite abatement</w:t>
      </w:r>
      <w:r w:rsidR="00B946B3">
        <w:rPr>
          <w:color w:val="auto"/>
        </w:rPr>
        <w:t>.</w:t>
      </w:r>
    </w:p>
    <w:p w14:paraId="16B2D0EC" w14:textId="0A3E66B3" w:rsidR="00433647" w:rsidRDefault="00433647" w:rsidP="0017296E">
      <w:pPr>
        <w:pStyle w:val="Heading2"/>
      </w:pPr>
      <w:bookmarkStart w:id="19" w:name="_Toc221806795"/>
      <w:bookmarkStart w:id="20" w:name="_Toc227062069"/>
      <w:r>
        <w:t>Covered emissions by sector</w:t>
      </w:r>
      <w:bookmarkEnd w:id="19"/>
      <w:bookmarkEnd w:id="20"/>
    </w:p>
    <w:tbl>
      <w:tblPr>
        <w:tblStyle w:val="CERCallout"/>
        <w:tblW w:w="5000" w:type="pct"/>
        <w:tblLook w:val="0600" w:firstRow="0" w:lastRow="0" w:firstColumn="0" w:lastColumn="0" w:noHBand="1" w:noVBand="1"/>
        <w:tblCaption w:val="test"/>
        <w:tblDescription w:val="tesst"/>
      </w:tblPr>
      <w:tblGrid>
        <w:gridCol w:w="9710"/>
      </w:tblGrid>
      <w:tr w:rsidR="00DF0A2C" w14:paraId="6C4C6303" w14:textId="77777777">
        <w:trPr>
          <w:cantSplit w:val="0"/>
          <w:trHeight w:val="383"/>
        </w:trPr>
        <w:tc>
          <w:tcPr>
            <w:tcW w:w="5000" w:type="pct"/>
          </w:tcPr>
          <w:p w14:paraId="48BF41CE" w14:textId="7534A711" w:rsidR="00551C5F" w:rsidRPr="0092568B" w:rsidRDefault="00551C5F" w:rsidP="00BF1514">
            <w:pPr>
              <w:pStyle w:val="CERbullets"/>
              <w:numPr>
                <w:ilvl w:val="0"/>
                <w:numId w:val="0"/>
              </w:numPr>
              <w:spacing w:after="0"/>
            </w:pPr>
            <w:r>
              <w:t xml:space="preserve">Each Safeguard facility’s </w:t>
            </w:r>
            <w:r w:rsidR="00DE5B0E">
              <w:t>c</w:t>
            </w:r>
            <w:r>
              <w:t xml:space="preserve">overed emissions </w:t>
            </w:r>
            <w:r w:rsidR="003C4571">
              <w:t>are</w:t>
            </w:r>
            <w:r>
              <w:t xml:space="preserve"> published in the </w:t>
            </w:r>
            <w:hyperlink r:id="rId21" w:anchor="baselines-and-emissions-table" w:history="1">
              <w:r w:rsidR="00B730FD">
                <w:rPr>
                  <w:rStyle w:val="Hyperlink"/>
                  <w:rFonts w:asciiTheme="minorHAnsi" w:hAnsiTheme="minorHAnsi"/>
                </w:rPr>
                <w:t>b</w:t>
              </w:r>
              <w:r w:rsidRPr="00F43F9E">
                <w:rPr>
                  <w:rStyle w:val="Hyperlink"/>
                  <w:rFonts w:asciiTheme="minorHAnsi" w:hAnsiTheme="minorHAnsi"/>
                </w:rPr>
                <w:t xml:space="preserve">aselines and </w:t>
              </w:r>
              <w:r w:rsidR="00B730FD">
                <w:rPr>
                  <w:rStyle w:val="Hyperlink"/>
                  <w:rFonts w:asciiTheme="minorHAnsi" w:hAnsiTheme="minorHAnsi"/>
                </w:rPr>
                <w:t>e</w:t>
              </w:r>
              <w:r w:rsidRPr="00F43F9E">
                <w:rPr>
                  <w:rStyle w:val="Hyperlink"/>
                  <w:rFonts w:asciiTheme="minorHAnsi" w:hAnsiTheme="minorHAnsi"/>
                </w:rPr>
                <w:t>missions table</w:t>
              </w:r>
            </w:hyperlink>
            <w:r w:rsidR="00DF5BD0">
              <w:rPr>
                <w:rStyle w:val="FootnoteReference"/>
              </w:rPr>
              <w:footnoteReference w:id="16"/>
            </w:r>
            <w:r>
              <w:t xml:space="preserve">. </w:t>
            </w:r>
          </w:p>
        </w:tc>
      </w:tr>
    </w:tbl>
    <w:p w14:paraId="55857249" w14:textId="76DA5ACB" w:rsidR="00CF6C30" w:rsidRDefault="00433647" w:rsidP="0017296E">
      <w:pPr>
        <w:spacing w:before="240"/>
        <w:rPr>
          <w:color w:val="auto"/>
        </w:rPr>
      </w:pPr>
      <w:r w:rsidRPr="00994BF8">
        <w:rPr>
          <w:color w:val="auto"/>
        </w:rPr>
        <w:t xml:space="preserve">In 2024–25 the distribution of covered emissions by industry sectors </w:t>
      </w:r>
      <w:r w:rsidR="00FC60B0" w:rsidRPr="00994BF8">
        <w:rPr>
          <w:color w:val="auto"/>
        </w:rPr>
        <w:t>remain</w:t>
      </w:r>
      <w:r w:rsidR="00FC60B0">
        <w:rPr>
          <w:color w:val="auto"/>
        </w:rPr>
        <w:t>ed</w:t>
      </w:r>
      <w:r w:rsidR="00FC60B0" w:rsidRPr="00994BF8">
        <w:rPr>
          <w:color w:val="auto"/>
        </w:rPr>
        <w:t xml:space="preserve"> </w:t>
      </w:r>
      <w:r w:rsidRPr="00994BF8">
        <w:rPr>
          <w:color w:val="auto"/>
        </w:rPr>
        <w:t xml:space="preserve">consistent </w:t>
      </w:r>
      <w:r>
        <w:rPr>
          <w:color w:val="auto"/>
        </w:rPr>
        <w:t>with the distribution observed for</w:t>
      </w:r>
      <w:r w:rsidRPr="00994BF8">
        <w:rPr>
          <w:color w:val="auto"/>
        </w:rPr>
        <w:t xml:space="preserve"> 2023–24</w:t>
      </w:r>
      <w:r>
        <w:rPr>
          <w:color w:val="auto"/>
        </w:rPr>
        <w:t xml:space="preserve">. </w:t>
      </w:r>
      <w:r w:rsidR="009C7355">
        <w:rPr>
          <w:color w:val="auto"/>
        </w:rPr>
        <w:t>T</w:t>
      </w:r>
      <w:r w:rsidR="009C7355" w:rsidRPr="00A714C9">
        <w:rPr>
          <w:color w:val="auto"/>
        </w:rPr>
        <w:t>he largest emitting industries in the Safeguard Mechanism</w:t>
      </w:r>
      <w:r w:rsidR="009C7355">
        <w:rPr>
          <w:color w:val="auto"/>
        </w:rPr>
        <w:t xml:space="preserve"> are o</w:t>
      </w:r>
      <w:r w:rsidRPr="00A714C9">
        <w:rPr>
          <w:color w:val="auto"/>
        </w:rPr>
        <w:t>il and gas, coal mining, metal manufacturing, other manufacturing (including cement)</w:t>
      </w:r>
      <w:r w:rsidR="0050578D">
        <w:rPr>
          <w:color w:val="auto"/>
        </w:rPr>
        <w:t>,</w:t>
      </w:r>
      <w:r w:rsidRPr="00A714C9">
        <w:rPr>
          <w:color w:val="auto"/>
        </w:rPr>
        <w:t xml:space="preserve"> metal ore mining </w:t>
      </w:r>
      <w:r>
        <w:rPr>
          <w:color w:val="auto"/>
        </w:rPr>
        <w:t>and transport</w:t>
      </w:r>
      <w:r w:rsidR="00620D69">
        <w:rPr>
          <w:rStyle w:val="FootnoteReference"/>
          <w:color w:val="auto"/>
        </w:rPr>
        <w:footnoteReference w:id="17"/>
      </w:r>
      <w:r w:rsidRPr="00A714C9">
        <w:rPr>
          <w:color w:val="auto"/>
        </w:rPr>
        <w:t>.</w:t>
      </w:r>
      <w:r w:rsidR="001159B1">
        <w:rPr>
          <w:color w:val="auto"/>
        </w:rPr>
        <w:t xml:space="preserve"> </w:t>
      </w:r>
    </w:p>
    <w:p w14:paraId="085FAB17" w14:textId="4CAAB7D1" w:rsidR="00433647" w:rsidRPr="00CF6C30" w:rsidRDefault="00433647" w:rsidP="001A06E4">
      <w:pPr>
        <w:pStyle w:val="Caption"/>
        <w:keepNext/>
      </w:pPr>
      <w:r w:rsidRPr="00466D85">
        <w:rPr>
          <w:i w:val="0"/>
          <w:color w:val="auto"/>
        </w:rPr>
        <w:t>Graph 2: Covered</w:t>
      </w:r>
      <w:r w:rsidRPr="00076D4D">
        <w:rPr>
          <w:i w:val="0"/>
          <w:color w:val="auto"/>
        </w:rPr>
        <w:t xml:space="preserve"> emissions by sector </w:t>
      </w:r>
      <w:r w:rsidRPr="00076D4D">
        <w:rPr>
          <w:i w:val="0"/>
        </w:rPr>
        <w:t xml:space="preserve"> </w:t>
      </w:r>
    </w:p>
    <w:p w14:paraId="6C75C274" w14:textId="1A953A56" w:rsidR="00C869D5" w:rsidRDefault="009901CE" w:rsidP="0017296E">
      <w:pPr>
        <w:spacing w:before="240"/>
      </w:pPr>
      <w:r>
        <w:rPr>
          <w:noProof/>
        </w:rPr>
        <w:drawing>
          <wp:inline distT="0" distB="0" distL="0" distR="0" wp14:anchorId="68A5490C" wp14:editId="594EDC50">
            <wp:extent cx="6303655" cy="3173464"/>
            <wp:effectExtent l="0" t="0" r="1905" b="8255"/>
            <wp:docPr id="15340203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020370" name="Picture 10"/>
                    <pic:cNvPicPr>
                      <a:picLocks noChangeAspect="1" noChangeArrowheads="1"/>
                    </pic:cNvPicPr>
                  </pic:nvPicPr>
                  <pic:blipFill>
                    <a:blip r:embed="rId22">
                      <a:extLst>
                        <a:ext uri="{96DAC541-7B7A-43D3-8B79-37D633B846F1}">
                          <asvg:svgBlip xmlns:asvg="http://schemas.microsoft.com/office/drawing/2016/SVG/main" r:embed="rId23"/>
                        </a:ext>
                      </a:extLst>
                    </a:blip>
                    <a:stretch>
                      <a:fillRect/>
                    </a:stretch>
                  </pic:blipFill>
                  <pic:spPr bwMode="auto">
                    <a:xfrm>
                      <a:off x="0" y="0"/>
                      <a:ext cx="6303655" cy="3173464"/>
                    </a:xfrm>
                    <a:prstGeom prst="rect">
                      <a:avLst/>
                    </a:prstGeom>
                  </pic:spPr>
                </pic:pic>
              </a:graphicData>
            </a:graphic>
          </wp:inline>
        </w:drawing>
      </w:r>
    </w:p>
    <w:p w14:paraId="5A2598F8" w14:textId="0E1EC7C1" w:rsidR="00433647" w:rsidRPr="00422E97" w:rsidRDefault="002D26D5" w:rsidP="00C869D5">
      <w:pPr>
        <w:rPr>
          <w:color w:val="auto"/>
        </w:rPr>
      </w:pPr>
      <w:r>
        <w:t xml:space="preserve">Changes in covered emissions </w:t>
      </w:r>
      <w:r w:rsidR="00665740" w:rsidRPr="003E4010">
        <w:t xml:space="preserve">from 2023–24 to 2024–25 </w:t>
      </w:r>
      <w:r w:rsidR="00956124">
        <w:t xml:space="preserve">are due </w:t>
      </w:r>
      <w:r w:rsidR="00665740" w:rsidRPr="003E4010">
        <w:t xml:space="preserve">to a combination of </w:t>
      </w:r>
      <w:r w:rsidR="00E004CB">
        <w:t>changes</w:t>
      </w:r>
      <w:r w:rsidR="00E004CB" w:rsidRPr="003E4010">
        <w:t xml:space="preserve"> </w:t>
      </w:r>
      <w:r w:rsidR="00665740" w:rsidRPr="003E4010">
        <w:t>in production</w:t>
      </w:r>
      <w:r w:rsidR="2BF38C7C">
        <w:t xml:space="preserve">, </w:t>
      </w:r>
      <w:r w:rsidR="003B1CB4">
        <w:t>operational circumstances,</w:t>
      </w:r>
      <w:r w:rsidR="00665740" w:rsidRPr="003E4010">
        <w:t xml:space="preserve"> and</w:t>
      </w:r>
      <w:r w:rsidR="00665740" w:rsidRPr="003E4010" w:rsidDel="000264A4">
        <w:t xml:space="preserve"> </w:t>
      </w:r>
      <w:r w:rsidR="00665740" w:rsidRPr="003E4010">
        <w:t>emissions intensities</w:t>
      </w:r>
      <w:r w:rsidR="004D2916" w:rsidRPr="003E4010">
        <w:rPr>
          <w:color w:val="auto"/>
        </w:rPr>
        <w:t xml:space="preserve">. </w:t>
      </w:r>
      <w:r w:rsidR="00956124">
        <w:t xml:space="preserve">The CER has </w:t>
      </w:r>
      <w:r w:rsidR="00AE08D1" w:rsidRPr="00AE08D1">
        <w:rPr>
          <w:color w:val="auto"/>
        </w:rPr>
        <w:t xml:space="preserve">performed additional analysis to </w:t>
      </w:r>
      <w:r w:rsidR="00A63BC2">
        <w:rPr>
          <w:color w:val="auto"/>
        </w:rPr>
        <w:t>distinguish</w:t>
      </w:r>
      <w:r w:rsidR="00AE08D1" w:rsidRPr="00AE08D1">
        <w:rPr>
          <w:color w:val="auto"/>
        </w:rPr>
        <w:t xml:space="preserve"> changes in covered emissions </w:t>
      </w:r>
      <w:r w:rsidR="00FA7F2A">
        <w:rPr>
          <w:color w:val="auto"/>
        </w:rPr>
        <w:t>caused by</w:t>
      </w:r>
      <w:r w:rsidR="00FA7F2A" w:rsidRPr="00AE08D1">
        <w:rPr>
          <w:color w:val="auto"/>
        </w:rPr>
        <w:t xml:space="preserve"> </w:t>
      </w:r>
      <w:r w:rsidR="00433647" w:rsidRPr="003E4010">
        <w:rPr>
          <w:color w:val="auto"/>
        </w:rPr>
        <w:t xml:space="preserve">changes in </w:t>
      </w:r>
      <w:r w:rsidR="00433647" w:rsidRPr="00422E97">
        <w:rPr>
          <w:color w:val="auto"/>
        </w:rPr>
        <w:t xml:space="preserve">production </w:t>
      </w:r>
      <w:r w:rsidR="00FA7F2A">
        <w:rPr>
          <w:color w:val="auto"/>
        </w:rPr>
        <w:t>from those caused by</w:t>
      </w:r>
      <w:r w:rsidR="00FA7F2A" w:rsidRPr="00422E97">
        <w:rPr>
          <w:color w:val="auto"/>
        </w:rPr>
        <w:t xml:space="preserve"> </w:t>
      </w:r>
      <w:r w:rsidR="00AE08D1">
        <w:rPr>
          <w:color w:val="auto"/>
        </w:rPr>
        <w:t xml:space="preserve">changes in </w:t>
      </w:r>
      <w:r w:rsidR="00433647" w:rsidRPr="00422E97">
        <w:rPr>
          <w:color w:val="auto"/>
        </w:rPr>
        <w:t>emissions intensity.</w:t>
      </w:r>
    </w:p>
    <w:p w14:paraId="17B35DEF" w14:textId="77777777" w:rsidR="00DF5BD0" w:rsidRDefault="00DF5BD0">
      <w:pPr>
        <w:spacing w:after="0"/>
      </w:pPr>
      <w:r>
        <w:br w:type="page"/>
      </w:r>
    </w:p>
    <w:p w14:paraId="40D493AB" w14:textId="27B2F6D0" w:rsidR="008F018A" w:rsidRPr="003405C2" w:rsidRDefault="008F018A" w:rsidP="008F018A">
      <w:r>
        <w:lastRenderedPageBreak/>
        <w:t>A reduction in a sector’s overall emissions intensity indicates that facilities are producing less emissions per unit of production. If the reduction of emissions intensity is greater than the effect of the baseline decline rate, generally excess</w:t>
      </w:r>
      <w:r w:rsidR="00F501CF">
        <w:t xml:space="preserve"> emissions</w:t>
      </w:r>
      <w:r>
        <w:t xml:space="preserve"> will decrease. Conversely if a </w:t>
      </w:r>
      <w:r w:rsidRPr="00036F18">
        <w:t>sector</w:t>
      </w:r>
      <w:r>
        <w:t>’</w:t>
      </w:r>
      <w:r w:rsidRPr="00036F18">
        <w:t>s overall emission</w:t>
      </w:r>
      <w:r w:rsidR="001576DD">
        <w:t>s</w:t>
      </w:r>
      <w:r w:rsidRPr="00036F18">
        <w:t xml:space="preserve"> intensity</w:t>
      </w:r>
      <w:r>
        <w:t xml:space="preserve"> increases, generally excess emissions will also increase.</w:t>
      </w:r>
    </w:p>
    <w:p w14:paraId="59241B25" w14:textId="10609D1E" w:rsidR="00433647" w:rsidRPr="00422E97" w:rsidRDefault="00C14C38" w:rsidP="00A568FE">
      <w:pPr>
        <w:rPr>
          <w:color w:val="auto"/>
        </w:rPr>
      </w:pPr>
      <w:r w:rsidRPr="00422E97">
        <w:rPr>
          <w:color w:val="auto"/>
        </w:rPr>
        <w:t xml:space="preserve">The </w:t>
      </w:r>
      <w:r w:rsidR="00CD106F" w:rsidRPr="00422E97">
        <w:rPr>
          <w:color w:val="auto"/>
        </w:rPr>
        <w:t xml:space="preserve">oil </w:t>
      </w:r>
      <w:r w:rsidR="00433647" w:rsidRPr="00422E97">
        <w:rPr>
          <w:color w:val="auto"/>
        </w:rPr>
        <w:t>and gas sector had the largest covered emissions reduction in 2024–25. Our analysis</w:t>
      </w:r>
      <w:r w:rsidR="003B28C4">
        <w:rPr>
          <w:color w:val="auto"/>
        </w:rPr>
        <w:t xml:space="preserve"> estimates </w:t>
      </w:r>
      <w:r w:rsidR="00433647" w:rsidRPr="00422E97">
        <w:rPr>
          <w:color w:val="auto"/>
        </w:rPr>
        <w:t>that approximately half of these emission</w:t>
      </w:r>
      <w:r w:rsidR="001576DD">
        <w:rPr>
          <w:color w:val="auto"/>
        </w:rPr>
        <w:t>s</w:t>
      </w:r>
      <w:r w:rsidR="00433647" w:rsidRPr="00422E97">
        <w:rPr>
          <w:color w:val="auto"/>
        </w:rPr>
        <w:t xml:space="preserve"> reductions were due to production </w:t>
      </w:r>
      <w:r w:rsidR="00AC2C70">
        <w:rPr>
          <w:color w:val="auto"/>
        </w:rPr>
        <w:t>reduction</w:t>
      </w:r>
      <w:r w:rsidR="00433647" w:rsidRPr="00422E97">
        <w:rPr>
          <w:color w:val="auto"/>
        </w:rPr>
        <w:t>s, and half due to reductions in individual facilities’ emissions intensities. A lower emission</w:t>
      </w:r>
      <w:r w:rsidR="00623AC2">
        <w:rPr>
          <w:color w:val="auto"/>
        </w:rPr>
        <w:t>s</w:t>
      </w:r>
      <w:r w:rsidR="00433647" w:rsidRPr="00422E97">
        <w:rPr>
          <w:color w:val="auto"/>
        </w:rPr>
        <w:t xml:space="preserve"> intensity indicates that</w:t>
      </w:r>
      <w:r w:rsidR="00382306">
        <w:rPr>
          <w:color w:val="auto"/>
        </w:rPr>
        <w:t xml:space="preserve"> the facility is releasing fewer emissions per unit of production.</w:t>
      </w:r>
      <w:r w:rsidR="00433647" w:rsidRPr="00422E97">
        <w:rPr>
          <w:color w:val="auto"/>
        </w:rPr>
        <w:t xml:space="preserve"> The successful implementation of carbon capture and storage (</w:t>
      </w:r>
      <w:r w:rsidR="00433647" w:rsidRPr="008C2649">
        <w:rPr>
          <w:color w:val="auto"/>
        </w:rPr>
        <w:t>CCS</w:t>
      </w:r>
      <w:r w:rsidR="00433647" w:rsidRPr="00422E97">
        <w:rPr>
          <w:color w:val="auto"/>
        </w:rPr>
        <w:t xml:space="preserve">) </w:t>
      </w:r>
      <w:r w:rsidR="08BE26EF" w:rsidRPr="2908BA8D">
        <w:rPr>
          <w:color w:val="auto"/>
        </w:rPr>
        <w:t xml:space="preserve">at </w:t>
      </w:r>
      <w:r w:rsidR="00873F64">
        <w:rPr>
          <w:color w:val="auto"/>
        </w:rPr>
        <w:t xml:space="preserve">the </w:t>
      </w:r>
      <w:r w:rsidR="08BE26EF" w:rsidRPr="2908BA8D">
        <w:rPr>
          <w:color w:val="auto"/>
        </w:rPr>
        <w:t xml:space="preserve">Moomba </w:t>
      </w:r>
      <w:r w:rsidR="00C15649">
        <w:rPr>
          <w:color w:val="auto"/>
        </w:rPr>
        <w:t>Plant</w:t>
      </w:r>
      <w:r w:rsidR="08BE26EF" w:rsidRPr="2908BA8D">
        <w:rPr>
          <w:color w:val="auto"/>
        </w:rPr>
        <w:t xml:space="preserve"> </w:t>
      </w:r>
      <w:r w:rsidR="00873F64">
        <w:rPr>
          <w:color w:val="auto"/>
        </w:rPr>
        <w:t>facility</w:t>
      </w:r>
      <w:r w:rsidR="08BE26EF" w:rsidRPr="2908BA8D">
        <w:rPr>
          <w:color w:val="auto"/>
        </w:rPr>
        <w:t xml:space="preserve"> </w:t>
      </w:r>
      <w:r w:rsidR="00433647" w:rsidRPr="00422E97">
        <w:rPr>
          <w:color w:val="auto"/>
        </w:rPr>
        <w:t xml:space="preserve">has contributed to the reduction </w:t>
      </w:r>
      <w:r w:rsidR="1E99A89C" w:rsidRPr="2908BA8D">
        <w:rPr>
          <w:color w:val="auto"/>
        </w:rPr>
        <w:t>in</w:t>
      </w:r>
      <w:r w:rsidR="00433647" w:rsidRPr="00422E97">
        <w:rPr>
          <w:color w:val="auto"/>
        </w:rPr>
        <w:t xml:space="preserve"> the </w:t>
      </w:r>
      <w:r w:rsidR="00BF76D2">
        <w:rPr>
          <w:color w:val="auto"/>
        </w:rPr>
        <w:t xml:space="preserve">oil and gas </w:t>
      </w:r>
      <w:r w:rsidR="00433647" w:rsidRPr="00422E97">
        <w:rPr>
          <w:color w:val="auto"/>
        </w:rPr>
        <w:t xml:space="preserve">sector’s emissions intensity. </w:t>
      </w:r>
    </w:p>
    <w:p w14:paraId="651E14DE" w14:textId="4672AFE8" w:rsidR="001D29CD" w:rsidRPr="00E50DFB" w:rsidRDefault="007275B3" w:rsidP="20E52EE5">
      <w:pPr>
        <w:rPr>
          <w:rStyle w:val="FootnoteReference"/>
          <w:color w:val="auto"/>
        </w:rPr>
      </w:pPr>
      <w:r w:rsidRPr="007275B3">
        <w:rPr>
          <w:color w:val="auto"/>
        </w:rPr>
        <w:t>Conversely,</w:t>
      </w:r>
      <w:r w:rsidR="12377D1C" w:rsidRPr="6DB0A3EC">
        <w:rPr>
          <w:color w:val="auto"/>
        </w:rPr>
        <w:t xml:space="preserve"> </w:t>
      </w:r>
      <w:r w:rsidR="12377D1C" w:rsidRPr="56FA1866">
        <w:rPr>
          <w:color w:val="auto"/>
        </w:rPr>
        <w:t>when viewed as a whole</w:t>
      </w:r>
      <w:r w:rsidR="2B2C2B6A" w:rsidRPr="65E7E986">
        <w:rPr>
          <w:color w:val="auto"/>
        </w:rPr>
        <w:t>,</w:t>
      </w:r>
      <w:r w:rsidRPr="007275B3">
        <w:rPr>
          <w:color w:val="auto"/>
        </w:rPr>
        <w:t xml:space="preserve"> the coal mining sector saw </w:t>
      </w:r>
      <w:r w:rsidRPr="007275B3" w:rsidDel="007F5D4E">
        <w:rPr>
          <w:color w:val="auto"/>
        </w:rPr>
        <w:t xml:space="preserve">a </w:t>
      </w:r>
      <w:r w:rsidR="007F5D4E">
        <w:rPr>
          <w:color w:val="auto"/>
        </w:rPr>
        <w:t>greater</w:t>
      </w:r>
      <w:r w:rsidR="00B658AE">
        <w:rPr>
          <w:color w:val="auto"/>
        </w:rPr>
        <w:t xml:space="preserve"> increase </w:t>
      </w:r>
      <w:r w:rsidRPr="007275B3">
        <w:rPr>
          <w:color w:val="auto"/>
        </w:rPr>
        <w:t xml:space="preserve">in total emissions </w:t>
      </w:r>
      <w:r w:rsidR="00631D46">
        <w:rPr>
          <w:color w:val="auto"/>
        </w:rPr>
        <w:t xml:space="preserve">than production </w:t>
      </w:r>
      <w:r w:rsidRPr="007275B3">
        <w:rPr>
          <w:color w:val="auto"/>
        </w:rPr>
        <w:t>in 2024–25</w:t>
      </w:r>
      <w:r w:rsidR="003E24F6">
        <w:rPr>
          <w:color w:val="auto"/>
        </w:rPr>
        <w:t xml:space="preserve">. </w:t>
      </w:r>
      <w:r w:rsidR="005D70D1">
        <w:rPr>
          <w:color w:val="auto"/>
        </w:rPr>
        <w:t xml:space="preserve">This </w:t>
      </w:r>
      <w:r w:rsidR="008C2649">
        <w:rPr>
          <w:color w:val="auto"/>
        </w:rPr>
        <w:t xml:space="preserve">reflected </w:t>
      </w:r>
      <w:r w:rsidR="008C2649" w:rsidRPr="00903E76">
        <w:rPr>
          <w:color w:val="auto"/>
        </w:rPr>
        <w:t>a</w:t>
      </w:r>
      <w:r w:rsidR="00FF7D43">
        <w:rPr>
          <w:color w:val="auto"/>
        </w:rPr>
        <w:t xml:space="preserve">n </w:t>
      </w:r>
      <w:r w:rsidR="00433647" w:rsidRPr="00903E76">
        <w:rPr>
          <w:color w:val="auto"/>
        </w:rPr>
        <w:t>increase in emissions intensity in that sector. The rise in emission</w:t>
      </w:r>
      <w:r w:rsidR="00623AC2">
        <w:rPr>
          <w:color w:val="auto"/>
        </w:rPr>
        <w:t>s</w:t>
      </w:r>
      <w:r w:rsidR="00433647" w:rsidRPr="00903E76">
        <w:rPr>
          <w:color w:val="auto"/>
        </w:rPr>
        <w:t xml:space="preserve"> intensity indicates that the coal mining sector </w:t>
      </w:r>
      <w:r w:rsidR="00784F0B" w:rsidRPr="00903E76">
        <w:rPr>
          <w:color w:val="auto"/>
        </w:rPr>
        <w:t>releas</w:t>
      </w:r>
      <w:r w:rsidR="00903E76" w:rsidRPr="00903E76">
        <w:rPr>
          <w:color w:val="auto"/>
        </w:rPr>
        <w:t>ed</w:t>
      </w:r>
      <w:r w:rsidR="00784F0B" w:rsidRPr="00903E76">
        <w:rPr>
          <w:color w:val="auto"/>
        </w:rPr>
        <w:t xml:space="preserve"> more emissions</w:t>
      </w:r>
      <w:r w:rsidR="00433647" w:rsidRPr="00903E76">
        <w:rPr>
          <w:color w:val="auto"/>
        </w:rPr>
        <w:t xml:space="preserve"> </w:t>
      </w:r>
      <w:r w:rsidR="00433647" w:rsidRPr="002F5F3F">
        <w:rPr>
          <w:color w:val="auto"/>
        </w:rPr>
        <w:t xml:space="preserve">per unit of production than </w:t>
      </w:r>
      <w:r w:rsidR="00AB2220" w:rsidRPr="002F5F3F">
        <w:rPr>
          <w:color w:val="auto"/>
        </w:rPr>
        <w:t>in 202</w:t>
      </w:r>
      <w:r w:rsidR="00903E76" w:rsidRPr="002F5F3F">
        <w:rPr>
          <w:color w:val="auto"/>
        </w:rPr>
        <w:t>3</w:t>
      </w:r>
      <w:r w:rsidR="00AB2220" w:rsidRPr="002F5F3F">
        <w:rPr>
          <w:color w:val="auto"/>
        </w:rPr>
        <w:t>–2</w:t>
      </w:r>
      <w:r w:rsidR="00903E76" w:rsidRPr="002F5F3F">
        <w:rPr>
          <w:color w:val="auto"/>
        </w:rPr>
        <w:t>4</w:t>
      </w:r>
      <w:r w:rsidR="00433647" w:rsidRPr="002F5F3F">
        <w:rPr>
          <w:color w:val="auto"/>
        </w:rPr>
        <w:t>.</w:t>
      </w:r>
      <w:r w:rsidR="00433647" w:rsidRPr="002F5F3F">
        <w:t xml:space="preserve"> </w:t>
      </w:r>
      <w:r w:rsidR="00801DC2" w:rsidRPr="00404691">
        <w:rPr>
          <w:color w:val="auto"/>
        </w:rPr>
        <w:t>Increases in emissions intensity at s</w:t>
      </w:r>
      <w:r w:rsidR="00433647" w:rsidRPr="00404691">
        <w:rPr>
          <w:color w:val="auto"/>
        </w:rPr>
        <w:t xml:space="preserve">ome </w:t>
      </w:r>
      <w:r w:rsidR="001B0B44" w:rsidRPr="00404691">
        <w:rPr>
          <w:color w:val="auto"/>
        </w:rPr>
        <w:t>facilities</w:t>
      </w:r>
      <w:r w:rsidR="006E3E7E" w:rsidRPr="00404691">
        <w:rPr>
          <w:color w:val="auto"/>
        </w:rPr>
        <w:t xml:space="preserve"> </w:t>
      </w:r>
      <w:r w:rsidR="00433647" w:rsidRPr="00404691">
        <w:rPr>
          <w:color w:val="auto"/>
        </w:rPr>
        <w:t xml:space="preserve">can be </w:t>
      </w:r>
      <w:r w:rsidR="00E11FF2" w:rsidRPr="00404691">
        <w:rPr>
          <w:color w:val="auto"/>
        </w:rPr>
        <w:t>attributed</w:t>
      </w:r>
      <w:r w:rsidR="00433647" w:rsidRPr="00404691">
        <w:rPr>
          <w:color w:val="auto"/>
        </w:rPr>
        <w:t xml:space="preserve"> </w:t>
      </w:r>
      <w:r w:rsidR="00E11FF2" w:rsidRPr="00404691">
        <w:rPr>
          <w:color w:val="auto"/>
        </w:rPr>
        <w:t xml:space="preserve">to </w:t>
      </w:r>
      <w:r w:rsidR="00433647" w:rsidRPr="00404691">
        <w:rPr>
          <w:color w:val="auto"/>
        </w:rPr>
        <w:t xml:space="preserve">the mining of </w:t>
      </w:r>
      <w:r w:rsidR="00903E76" w:rsidRPr="00404691">
        <w:rPr>
          <w:color w:val="auto"/>
        </w:rPr>
        <w:t>gassier</w:t>
      </w:r>
      <w:r w:rsidR="00433647" w:rsidRPr="00404691">
        <w:rPr>
          <w:color w:val="auto"/>
        </w:rPr>
        <w:t xml:space="preserve"> areas, decommissioning activities for underground mines</w:t>
      </w:r>
      <w:r w:rsidR="002F5F3F" w:rsidRPr="00404691">
        <w:rPr>
          <w:color w:val="auto"/>
        </w:rPr>
        <w:t>,</w:t>
      </w:r>
      <w:r w:rsidR="00433647" w:rsidRPr="00404691">
        <w:rPr>
          <w:color w:val="auto"/>
        </w:rPr>
        <w:t xml:space="preserve"> and </w:t>
      </w:r>
      <w:r w:rsidR="00443B67" w:rsidRPr="00404691">
        <w:rPr>
          <w:color w:val="auto"/>
        </w:rPr>
        <w:t>disruptions to production</w:t>
      </w:r>
      <w:r w:rsidR="00433647" w:rsidRPr="00404691">
        <w:rPr>
          <w:color w:val="auto"/>
        </w:rPr>
        <w:t>.</w:t>
      </w:r>
      <w:r w:rsidR="00E848BD">
        <w:rPr>
          <w:color w:val="auto"/>
        </w:rPr>
        <w:t xml:space="preserve"> </w:t>
      </w:r>
      <w:r w:rsidR="00E848BD" w:rsidRPr="65D9BAED">
        <w:rPr>
          <w:color w:val="auto"/>
        </w:rPr>
        <w:t xml:space="preserve">However, </w:t>
      </w:r>
      <w:r w:rsidR="21C7B9ED" w:rsidRPr="65D9BAED">
        <w:rPr>
          <w:color w:val="auto"/>
        </w:rPr>
        <w:t xml:space="preserve">there were also decreases in emissions </w:t>
      </w:r>
      <w:r w:rsidR="21C7B9ED" w:rsidRPr="5DAE1326">
        <w:rPr>
          <w:color w:val="auto"/>
        </w:rPr>
        <w:t>intensity</w:t>
      </w:r>
      <w:r w:rsidR="21C7B9ED" w:rsidRPr="65D9BAED">
        <w:rPr>
          <w:color w:val="auto"/>
        </w:rPr>
        <w:t xml:space="preserve"> at other facilities</w:t>
      </w:r>
      <w:r w:rsidR="00E848BD">
        <w:rPr>
          <w:color w:val="auto"/>
        </w:rPr>
        <w:t xml:space="preserve"> with some </w:t>
      </w:r>
      <w:r w:rsidR="00EC16C7">
        <w:rPr>
          <w:color w:val="auto"/>
        </w:rPr>
        <w:t>coal m</w:t>
      </w:r>
      <w:r w:rsidR="001776BB">
        <w:rPr>
          <w:color w:val="auto"/>
        </w:rPr>
        <w:t xml:space="preserve">ines taking actions to reduce emissions, such as capturing and </w:t>
      </w:r>
      <w:r w:rsidR="48517DED" w:rsidRPr="41BAA541">
        <w:rPr>
          <w:color w:val="auto"/>
        </w:rPr>
        <w:t>combusting</w:t>
      </w:r>
      <w:r w:rsidR="00721834">
        <w:rPr>
          <w:color w:val="auto"/>
        </w:rPr>
        <w:t xml:space="preserve"> coal mine waste gas</w:t>
      </w:r>
      <w:r w:rsidR="7D3E4F94" w:rsidRPr="605F09BA">
        <w:rPr>
          <w:color w:val="auto"/>
        </w:rPr>
        <w:t>.</w:t>
      </w:r>
    </w:p>
    <w:p w14:paraId="7AE3FBE5" w14:textId="14FC2E44" w:rsidR="001D29CD" w:rsidRPr="00E50DFB" w:rsidRDefault="349B9779" w:rsidP="0073028B">
      <w:pPr>
        <w:rPr>
          <w:color w:val="auto"/>
        </w:rPr>
      </w:pPr>
      <w:r>
        <w:t xml:space="preserve">The CER will continue to examine other industry sectors’ performance under the Safeguard Mechanism, such as through its regular </w:t>
      </w:r>
      <w:hyperlink r:id="rId24" w:history="1">
        <w:r w:rsidRPr="00313A37">
          <w:rPr>
            <w:rStyle w:val="Hyperlink"/>
            <w:rFonts w:asciiTheme="minorHAnsi" w:hAnsiTheme="minorHAnsi"/>
          </w:rPr>
          <w:t>Quarterly Carbon Market Reports</w:t>
        </w:r>
      </w:hyperlink>
      <w:r w:rsidR="00313A37">
        <w:rPr>
          <w:rStyle w:val="FootnoteReference"/>
        </w:rPr>
        <w:footnoteReference w:id="18"/>
      </w:r>
      <w:r>
        <w:t>.</w:t>
      </w:r>
      <w:r w:rsidR="00433647" w:rsidRPr="002F5F3F">
        <w:rPr>
          <w:color w:val="auto"/>
        </w:rPr>
        <w:t xml:space="preserve"> </w:t>
      </w:r>
      <w:bookmarkStart w:id="21" w:name="_Hlk221710614"/>
      <w:r w:rsidR="00433647">
        <w:rPr>
          <w:color w:val="auto"/>
        </w:rPr>
        <w:t xml:space="preserve"> </w:t>
      </w:r>
      <w:bookmarkEnd w:id="21"/>
    </w:p>
    <w:p w14:paraId="4798196E" w14:textId="54674C63" w:rsidR="00433647" w:rsidRPr="005354B6" w:rsidRDefault="00433647" w:rsidP="001576DD">
      <w:pPr>
        <w:pStyle w:val="Heading2"/>
      </w:pPr>
      <w:bookmarkStart w:id="22" w:name="_Toc221806796"/>
      <w:bookmarkStart w:id="23" w:name="_Toc227062070"/>
      <w:r w:rsidRPr="005354B6">
        <w:t>Unit surrenders</w:t>
      </w:r>
      <w:bookmarkEnd w:id="22"/>
      <w:bookmarkEnd w:id="23"/>
    </w:p>
    <w:tbl>
      <w:tblPr>
        <w:tblStyle w:val="CERCallout"/>
        <w:tblW w:w="5000" w:type="pct"/>
        <w:tblLook w:val="0600" w:firstRow="0" w:lastRow="0" w:firstColumn="0" w:lastColumn="0" w:noHBand="1" w:noVBand="1"/>
        <w:tblCaption w:val="test"/>
        <w:tblDescription w:val="tesst"/>
      </w:tblPr>
      <w:tblGrid>
        <w:gridCol w:w="9710"/>
      </w:tblGrid>
      <w:tr w:rsidR="00DF0A2C" w14:paraId="6CEDF7ED" w14:textId="77777777">
        <w:trPr>
          <w:cantSplit w:val="0"/>
          <w:trHeight w:val="383"/>
        </w:trPr>
        <w:tc>
          <w:tcPr>
            <w:tcW w:w="5000" w:type="pct"/>
          </w:tcPr>
          <w:p w14:paraId="6D0521CD" w14:textId="57276188" w:rsidR="00E37FB3" w:rsidRDefault="00E37FB3" w:rsidP="00BF1514">
            <w:pPr>
              <w:pStyle w:val="CERbullets"/>
              <w:numPr>
                <w:ilvl w:val="0"/>
                <w:numId w:val="0"/>
              </w:numPr>
              <w:spacing w:after="0"/>
            </w:pPr>
            <w:r>
              <w:t xml:space="preserve">The number of units surrendered by each Safeguard facility for 2024–25 is published in the </w:t>
            </w:r>
            <w:hyperlink r:id="rId25" w:anchor="baselines-and-emissions-table" w:history="1">
              <w:r w:rsidR="00B730FD">
                <w:rPr>
                  <w:rStyle w:val="Hyperlink"/>
                  <w:rFonts w:asciiTheme="minorHAnsi" w:hAnsiTheme="minorHAnsi"/>
                </w:rPr>
                <w:t>b</w:t>
              </w:r>
              <w:r w:rsidRPr="00F43F9E">
                <w:rPr>
                  <w:rStyle w:val="Hyperlink"/>
                  <w:rFonts w:asciiTheme="minorHAnsi" w:hAnsiTheme="minorHAnsi"/>
                </w:rPr>
                <w:t xml:space="preserve">aselines and </w:t>
              </w:r>
              <w:r w:rsidR="00B730FD">
                <w:rPr>
                  <w:rStyle w:val="Hyperlink"/>
                  <w:rFonts w:asciiTheme="minorHAnsi" w:hAnsiTheme="minorHAnsi"/>
                </w:rPr>
                <w:t>e</w:t>
              </w:r>
              <w:r w:rsidRPr="00F43F9E">
                <w:rPr>
                  <w:rStyle w:val="Hyperlink"/>
                  <w:rFonts w:asciiTheme="minorHAnsi" w:hAnsiTheme="minorHAnsi"/>
                </w:rPr>
                <w:t>missions table</w:t>
              </w:r>
            </w:hyperlink>
            <w:r w:rsidR="00DF5BD0">
              <w:rPr>
                <w:rStyle w:val="FootnoteReference"/>
              </w:rPr>
              <w:footnoteReference w:id="19"/>
            </w:r>
            <w:r>
              <w:t xml:space="preserve">. </w:t>
            </w:r>
          </w:p>
          <w:p w14:paraId="151F4D87" w14:textId="23C090AF" w:rsidR="00F57702" w:rsidRPr="0092568B" w:rsidRDefault="00F57702" w:rsidP="001576DD">
            <w:pPr>
              <w:pStyle w:val="CERbullets"/>
              <w:numPr>
                <w:ilvl w:val="0"/>
                <w:numId w:val="0"/>
              </w:numPr>
              <w:spacing w:after="0"/>
            </w:pPr>
            <w:r>
              <w:t xml:space="preserve">The methodology determination </w:t>
            </w:r>
            <w:r w:rsidR="00E54F3E">
              <w:t xml:space="preserve">for each ACCU surrendered for </w:t>
            </w:r>
            <w:r w:rsidR="006A2FCA">
              <w:t xml:space="preserve">a safeguard facility for 2024–25 is </w:t>
            </w:r>
            <w:r w:rsidR="003E6964">
              <w:t>published</w:t>
            </w:r>
            <w:r w:rsidR="00C45B1F">
              <w:t xml:space="preserve"> in the </w:t>
            </w:r>
            <w:hyperlink r:id="rId26" w:anchor="accu-methods-table" w:history="1">
              <w:r w:rsidR="00DC0B08" w:rsidRPr="00D87C2C">
                <w:rPr>
                  <w:rStyle w:val="Hyperlink"/>
                  <w:rFonts w:asciiTheme="minorHAnsi" w:hAnsiTheme="minorHAnsi"/>
                </w:rPr>
                <w:t>ACC</w:t>
              </w:r>
              <w:r w:rsidR="00E509AF" w:rsidRPr="00D87C2C">
                <w:rPr>
                  <w:rStyle w:val="Hyperlink"/>
                  <w:rFonts w:asciiTheme="minorHAnsi" w:hAnsiTheme="minorHAnsi"/>
                </w:rPr>
                <w:t>U</w:t>
              </w:r>
              <w:r w:rsidR="00DC0B08" w:rsidRPr="00D87C2C">
                <w:rPr>
                  <w:rStyle w:val="Hyperlink"/>
                  <w:rFonts w:asciiTheme="minorHAnsi" w:hAnsiTheme="minorHAnsi"/>
                </w:rPr>
                <w:t xml:space="preserve"> methods table</w:t>
              </w:r>
            </w:hyperlink>
            <w:r w:rsidR="00DF5BD0">
              <w:rPr>
                <w:rStyle w:val="FootnoteReference"/>
              </w:rPr>
              <w:footnoteReference w:id="20"/>
            </w:r>
            <w:r w:rsidR="00DC0B08">
              <w:t>.</w:t>
            </w:r>
          </w:p>
        </w:tc>
      </w:tr>
    </w:tbl>
    <w:p w14:paraId="0243BB77" w14:textId="38DE1A38" w:rsidR="007E3BE3" w:rsidRDefault="00433647" w:rsidP="001576DD">
      <w:pPr>
        <w:spacing w:before="240"/>
      </w:pPr>
      <w:r>
        <w:t xml:space="preserve">Safeguard facilities can manage excess emissions by surrendering </w:t>
      </w:r>
      <w:r w:rsidR="004722D9">
        <w:t xml:space="preserve">either </w:t>
      </w:r>
      <w:r>
        <w:t xml:space="preserve">one ACCU or </w:t>
      </w:r>
      <w:r w:rsidR="004722D9">
        <w:t xml:space="preserve">one </w:t>
      </w:r>
      <w:r>
        <w:t>SMC per tCO</w:t>
      </w:r>
      <w:r w:rsidRPr="006E0638">
        <w:rPr>
          <w:vertAlign w:val="subscript"/>
        </w:rPr>
        <w:t>2</w:t>
      </w:r>
      <w:r>
        <w:t xml:space="preserve">-e by which their net emissions number exceeds their baseline. For the 2024–25 compliance period, </w:t>
      </w:r>
      <w:r w:rsidR="001F7544">
        <w:t>139</w:t>
      </w:r>
      <w:r>
        <w:t xml:space="preserve"> facilities surrendered </w:t>
      </w:r>
      <w:r w:rsidR="004B2781">
        <w:t>10.8</w:t>
      </w:r>
      <w:r>
        <w:t xml:space="preserve"> million </w:t>
      </w:r>
      <w:r w:rsidRPr="00355B48">
        <w:t xml:space="preserve">ACCUs and </w:t>
      </w:r>
      <w:r w:rsidR="003B06C1" w:rsidRPr="00355B48">
        <w:t>2</w:t>
      </w:r>
      <w:r w:rsidR="00016EEC" w:rsidRPr="00355B48">
        <w:t>.6</w:t>
      </w:r>
      <w:r w:rsidRPr="00355B48">
        <w:t xml:space="preserve"> million SMCs – totalling </w:t>
      </w:r>
      <w:r w:rsidR="0013214E" w:rsidRPr="00355B48">
        <w:t>13.4 million</w:t>
      </w:r>
      <w:r w:rsidRPr="00355B48">
        <w:t xml:space="preserve"> </w:t>
      </w:r>
      <w:r w:rsidR="006C5F7B" w:rsidRPr="00355B48">
        <w:t xml:space="preserve">units </w:t>
      </w:r>
      <w:r w:rsidRPr="00355B48">
        <w:t>surrender</w:t>
      </w:r>
      <w:r w:rsidR="006C5F7B" w:rsidRPr="00355B48">
        <w:t>ed</w:t>
      </w:r>
      <w:r w:rsidRPr="00355B48">
        <w:t xml:space="preserve"> altogether. This is an </w:t>
      </w:r>
      <w:r w:rsidR="007E3BE3" w:rsidRPr="00355B48">
        <w:t>increase</w:t>
      </w:r>
      <w:r w:rsidRPr="00355B48">
        <w:t xml:space="preserve"> of </w:t>
      </w:r>
      <w:r w:rsidR="006A71C6">
        <w:t>49</w:t>
      </w:r>
      <w:r w:rsidRPr="00355B48">
        <w:t xml:space="preserve">% of </w:t>
      </w:r>
      <w:r w:rsidR="00355B48">
        <w:t xml:space="preserve">unit </w:t>
      </w:r>
      <w:r w:rsidRPr="00355B48">
        <w:t>surrenders</w:t>
      </w:r>
      <w:r>
        <w:t xml:space="preserve"> from 2023–24.</w:t>
      </w:r>
    </w:p>
    <w:p w14:paraId="3593A934" w14:textId="5691D58D" w:rsidR="00433647" w:rsidRPr="007E3BE3" w:rsidRDefault="00433647" w:rsidP="001A06E4">
      <w:pPr>
        <w:pStyle w:val="Caption"/>
        <w:keepNext/>
      </w:pPr>
      <w:r w:rsidRPr="197EBC72">
        <w:rPr>
          <w:i w:val="0"/>
        </w:rPr>
        <w:lastRenderedPageBreak/>
        <w:t xml:space="preserve">Graph </w:t>
      </w:r>
      <w:r w:rsidRPr="00AD20BB">
        <w:rPr>
          <w:i w:val="0"/>
        </w:rPr>
        <w:t>3: Surrendered</w:t>
      </w:r>
      <w:r w:rsidRPr="197EBC72">
        <w:rPr>
          <w:i w:val="0"/>
        </w:rPr>
        <w:t xml:space="preserve"> prescribed carbon units</w:t>
      </w:r>
      <w:r>
        <w:rPr>
          <w:i w:val="0"/>
        </w:rPr>
        <w:t xml:space="preserve"> and SMCs issued</w:t>
      </w:r>
    </w:p>
    <w:p w14:paraId="7DA55088" w14:textId="31B70AF1" w:rsidR="00433647" w:rsidRDefault="00785049" w:rsidP="00F0448D">
      <w:pPr>
        <w:jc w:val="center"/>
      </w:pPr>
      <w:r>
        <w:rPr>
          <w:noProof/>
        </w:rPr>
        <w:drawing>
          <wp:inline distT="0" distB="0" distL="0" distR="0" wp14:anchorId="4EA31CE9" wp14:editId="66189DF5">
            <wp:extent cx="5040000" cy="3269560"/>
            <wp:effectExtent l="0" t="0" r="8255" b="7620"/>
            <wp:docPr id="16949147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914718" name="Picture 2"/>
                    <pic:cNvPicPr>
                      <a:picLocks noChangeAspect="1" noChangeArrowheads="1"/>
                    </pic:cNvPicPr>
                  </pic:nvPicPr>
                  <pic:blipFill>
                    <a:blip r:embed="rId27">
                      <a:extLst>
                        <a:ext uri="{96DAC541-7B7A-43D3-8B79-37D633B846F1}">
                          <asvg:svgBlip xmlns:asvg="http://schemas.microsoft.com/office/drawing/2016/SVG/main" r:embed="rId28"/>
                        </a:ext>
                      </a:extLst>
                    </a:blip>
                    <a:stretch>
                      <a:fillRect/>
                    </a:stretch>
                  </pic:blipFill>
                  <pic:spPr bwMode="auto">
                    <a:xfrm>
                      <a:off x="0" y="0"/>
                      <a:ext cx="5040000" cy="3269560"/>
                    </a:xfrm>
                    <a:prstGeom prst="rect">
                      <a:avLst/>
                    </a:prstGeom>
                  </pic:spPr>
                </pic:pic>
              </a:graphicData>
            </a:graphic>
          </wp:inline>
        </w:drawing>
      </w:r>
    </w:p>
    <w:p w14:paraId="7DE8284B" w14:textId="444A2D15" w:rsidR="00433647" w:rsidRPr="002F5B93" w:rsidRDefault="00433647" w:rsidP="00B86C32">
      <w:pPr>
        <w:spacing w:before="240"/>
        <w:rPr>
          <w:i/>
        </w:rPr>
      </w:pPr>
      <w:r w:rsidRPr="004D67AE">
        <w:t>Th</w:t>
      </w:r>
      <w:r>
        <w:t>is</w:t>
      </w:r>
      <w:r w:rsidRPr="004D67AE">
        <w:t xml:space="preserve"> increase in surrenders </w:t>
      </w:r>
      <w:r w:rsidRPr="00614C69">
        <w:t>reflects the baseline decline rate</w:t>
      </w:r>
      <w:r w:rsidR="00E614E9">
        <w:t xml:space="preserve">, alongside </w:t>
      </w:r>
      <w:r w:rsidR="008B2015">
        <w:t xml:space="preserve">the fact that </w:t>
      </w:r>
      <w:r w:rsidRPr="00614C69">
        <w:t>many emitters</w:t>
      </w:r>
      <w:r>
        <w:t xml:space="preserve"> </w:t>
      </w:r>
      <w:r w:rsidR="008B2015">
        <w:t>are</w:t>
      </w:r>
      <w:r w:rsidR="0007523E">
        <w:t xml:space="preserve"> </w:t>
      </w:r>
      <w:r>
        <w:t>yet to adopt</w:t>
      </w:r>
      <w:r w:rsidRPr="00614C69">
        <w:t xml:space="preserve"> large-scale decarbonisation </w:t>
      </w:r>
      <w:r>
        <w:t>initiatives</w:t>
      </w:r>
      <w:r w:rsidRPr="00614C69">
        <w:t>.</w:t>
      </w:r>
      <w:r>
        <w:t xml:space="preserve"> </w:t>
      </w:r>
      <w:r w:rsidRPr="00F830D7">
        <w:t xml:space="preserve">ACCUs and SMCs </w:t>
      </w:r>
      <w:r w:rsidR="183E771C">
        <w:t xml:space="preserve">are likely to </w:t>
      </w:r>
      <w:r w:rsidRPr="00F830D7">
        <w:t>remain key to emitters’ safeguard compliance strategies while decarbonisation technologies are developed and established.</w:t>
      </w:r>
      <w:r w:rsidRPr="00217496">
        <w:t xml:space="preserve"> </w:t>
      </w:r>
    </w:p>
    <w:p w14:paraId="7F7732B7" w14:textId="7B0A1D50" w:rsidR="00433647" w:rsidRDefault="00433647" w:rsidP="004D67AE">
      <w:pPr>
        <w:pStyle w:val="BodyText1"/>
      </w:pPr>
      <w:r>
        <w:t>For both 2023</w:t>
      </w:r>
      <w:r w:rsidRPr="00753911">
        <w:t>–</w:t>
      </w:r>
      <w:r w:rsidRPr="00355B48">
        <w:t>24 and 2024–25, the number</w:t>
      </w:r>
      <w:r>
        <w:t xml:space="preserve"> of SMCs surrendered was significantly less than the number issued. This suggests that many emitters that earn SMCs are </w:t>
      </w:r>
      <w:r w:rsidR="00446E03">
        <w:t xml:space="preserve">choosing </w:t>
      </w:r>
      <w:r>
        <w:t xml:space="preserve">to bank </w:t>
      </w:r>
      <w:r w:rsidR="00D75137">
        <w:t>them for a future compliance year</w:t>
      </w:r>
      <w:r w:rsidR="00446E03">
        <w:t>,</w:t>
      </w:r>
      <w:r w:rsidR="00D75137">
        <w:t xml:space="preserve"> </w:t>
      </w:r>
      <w:r>
        <w:t xml:space="preserve">rather than </w:t>
      </w:r>
      <w:r w:rsidR="00CA2B59">
        <w:t>trade</w:t>
      </w:r>
      <w:r>
        <w:t xml:space="preserve"> them</w:t>
      </w:r>
      <w:r w:rsidR="006072E2">
        <w:t xml:space="preserve"> to another emitter </w:t>
      </w:r>
      <w:r w:rsidR="00446E03">
        <w:t>for</w:t>
      </w:r>
      <w:r w:rsidR="006072E2">
        <w:t xml:space="preserve"> </w:t>
      </w:r>
      <w:r w:rsidR="64A6766F">
        <w:t xml:space="preserve">immediate </w:t>
      </w:r>
      <w:r w:rsidR="006072E2">
        <w:t>surrender</w:t>
      </w:r>
      <w:r>
        <w:t xml:space="preserve">. </w:t>
      </w:r>
    </w:p>
    <w:p w14:paraId="34C5C60F" w14:textId="60ECB1EB" w:rsidR="00166F16" w:rsidRPr="00EF15A2" w:rsidRDefault="00307909" w:rsidP="00900B0F">
      <w:pPr>
        <w:pStyle w:val="Caption"/>
        <w:rPr>
          <w:rFonts w:asciiTheme="minorHAnsi" w:eastAsia="Cambria" w:hAnsiTheme="minorHAnsi" w:cstheme="minorHAnsi"/>
          <w:i w:val="0"/>
          <w:sz w:val="22"/>
          <w:szCs w:val="24"/>
        </w:rPr>
      </w:pPr>
      <w:r w:rsidRPr="00900B0F">
        <w:rPr>
          <w:rFonts w:asciiTheme="minorHAnsi" w:eastAsia="Cambria" w:hAnsiTheme="minorHAnsi" w:cstheme="minorHAnsi"/>
          <w:i w:val="0"/>
          <w:iCs w:val="0"/>
          <w:sz w:val="22"/>
          <w:szCs w:val="24"/>
        </w:rPr>
        <w:t xml:space="preserve">The CER is required the publish the applicable ACCU Scheme methodology determination under which </w:t>
      </w:r>
      <w:r w:rsidR="00E21FAC" w:rsidRPr="00900B0F">
        <w:rPr>
          <w:rFonts w:asciiTheme="minorHAnsi" w:eastAsia="Cambria" w:hAnsiTheme="minorHAnsi" w:cstheme="minorHAnsi"/>
          <w:i w:val="0"/>
          <w:iCs w:val="0"/>
          <w:sz w:val="22"/>
          <w:szCs w:val="24"/>
        </w:rPr>
        <w:t>each</w:t>
      </w:r>
      <w:r w:rsidR="004E4D05" w:rsidRPr="00900B0F">
        <w:rPr>
          <w:rFonts w:asciiTheme="minorHAnsi" w:eastAsia="Cambria" w:hAnsiTheme="minorHAnsi" w:cstheme="minorHAnsi"/>
          <w:i w:val="0"/>
          <w:iCs w:val="0"/>
          <w:sz w:val="22"/>
          <w:szCs w:val="24"/>
        </w:rPr>
        <w:t xml:space="preserve"> </w:t>
      </w:r>
      <w:r w:rsidRPr="00900B0F">
        <w:rPr>
          <w:rFonts w:asciiTheme="minorHAnsi" w:eastAsia="Cambria" w:hAnsiTheme="minorHAnsi" w:cstheme="minorHAnsi"/>
          <w:i w:val="0"/>
          <w:iCs w:val="0"/>
          <w:sz w:val="22"/>
          <w:szCs w:val="24"/>
        </w:rPr>
        <w:t>ACCU surrendered</w:t>
      </w:r>
      <w:r w:rsidR="00085AA9" w:rsidRPr="00900B0F">
        <w:rPr>
          <w:rFonts w:asciiTheme="minorHAnsi" w:eastAsia="Cambria" w:hAnsiTheme="minorHAnsi" w:cstheme="minorHAnsi"/>
          <w:i w:val="0"/>
          <w:iCs w:val="0"/>
          <w:sz w:val="22"/>
          <w:szCs w:val="24"/>
        </w:rPr>
        <w:t xml:space="preserve"> for Safeguard compliance w</w:t>
      </w:r>
      <w:r w:rsidR="00E21FAC" w:rsidRPr="00900B0F">
        <w:rPr>
          <w:rFonts w:asciiTheme="minorHAnsi" w:eastAsia="Cambria" w:hAnsiTheme="minorHAnsi" w:cstheme="minorHAnsi"/>
          <w:i w:val="0"/>
          <w:iCs w:val="0"/>
          <w:sz w:val="22"/>
          <w:szCs w:val="24"/>
        </w:rPr>
        <w:t>as</w:t>
      </w:r>
      <w:r w:rsidR="00085AA9" w:rsidRPr="00900B0F">
        <w:rPr>
          <w:rFonts w:asciiTheme="minorHAnsi" w:eastAsia="Cambria" w:hAnsiTheme="minorHAnsi" w:cstheme="minorHAnsi"/>
          <w:i w:val="0"/>
          <w:iCs w:val="0"/>
          <w:sz w:val="22"/>
          <w:szCs w:val="24"/>
        </w:rPr>
        <w:t xml:space="preserve"> issued. </w:t>
      </w:r>
      <w:r w:rsidR="00725615" w:rsidRPr="00900B0F">
        <w:rPr>
          <w:rFonts w:asciiTheme="minorHAnsi" w:eastAsia="Cambria" w:hAnsiTheme="minorHAnsi" w:cstheme="minorHAnsi"/>
          <w:i w:val="0"/>
          <w:iCs w:val="0"/>
          <w:sz w:val="22"/>
          <w:szCs w:val="24"/>
        </w:rPr>
        <w:t xml:space="preserve">The </w:t>
      </w:r>
      <w:r w:rsidR="00A214CF" w:rsidRPr="00900B0F">
        <w:rPr>
          <w:rFonts w:asciiTheme="minorHAnsi" w:eastAsia="Cambria" w:hAnsiTheme="minorHAnsi" w:cstheme="minorHAnsi"/>
          <w:i w:val="0"/>
          <w:iCs w:val="0"/>
          <w:sz w:val="22"/>
          <w:szCs w:val="24"/>
        </w:rPr>
        <w:t xml:space="preserve">split of methodology determinations </w:t>
      </w:r>
      <w:r w:rsidR="00AE65CB" w:rsidRPr="00900B0F">
        <w:rPr>
          <w:rFonts w:asciiTheme="minorHAnsi" w:eastAsia="Cambria" w:hAnsiTheme="minorHAnsi" w:cstheme="minorHAnsi"/>
          <w:i w:val="0"/>
          <w:iCs w:val="0"/>
          <w:sz w:val="22"/>
          <w:szCs w:val="24"/>
        </w:rPr>
        <w:t xml:space="preserve">for surrendered ACCUs for 2024–25 is shown in the graphic below. </w:t>
      </w:r>
    </w:p>
    <w:p w14:paraId="5E76EB3A" w14:textId="65DACBD1" w:rsidR="00C56656" w:rsidRPr="004F4510" w:rsidRDefault="001C569F" w:rsidP="00EF15A2">
      <w:pPr>
        <w:pStyle w:val="Caption"/>
        <w:keepNext/>
      </w:pPr>
      <w:r w:rsidRPr="00900B0F">
        <w:rPr>
          <w:i w:val="0"/>
          <w:iCs w:val="0"/>
        </w:rPr>
        <w:t>Grap</w:t>
      </w:r>
      <w:r w:rsidRPr="00785049">
        <w:rPr>
          <w:i w:val="0"/>
          <w:iCs w:val="0"/>
        </w:rPr>
        <w:t xml:space="preserve">h </w:t>
      </w:r>
      <w:r w:rsidR="0089537E" w:rsidRPr="00785049">
        <w:rPr>
          <w:i w:val="0"/>
          <w:iCs w:val="0"/>
        </w:rPr>
        <w:t>4</w:t>
      </w:r>
      <w:r w:rsidRPr="00785049">
        <w:rPr>
          <w:i w:val="0"/>
          <w:iCs w:val="0"/>
        </w:rPr>
        <w:t>:</w:t>
      </w:r>
      <w:r w:rsidRPr="00900B0F">
        <w:rPr>
          <w:i w:val="0"/>
          <w:iCs w:val="0"/>
        </w:rPr>
        <w:t xml:space="preserve"> </w:t>
      </w:r>
      <w:r w:rsidR="0089537E" w:rsidRPr="00900B0F">
        <w:rPr>
          <w:i w:val="0"/>
          <w:iCs w:val="0"/>
        </w:rPr>
        <w:t>ACCU surrenders by method type</w:t>
      </w:r>
      <w:r w:rsidRPr="00900B0F" w:rsidDel="00D44D4B">
        <w:rPr>
          <w:i w:val="0"/>
          <w:iCs w:val="0"/>
          <w:highlight w:val="cyan"/>
        </w:rPr>
        <w:t xml:space="preserve"> </w:t>
      </w:r>
    </w:p>
    <w:p w14:paraId="4C983149" w14:textId="2155D76C" w:rsidR="001046F9" w:rsidRPr="004D67AE" w:rsidRDefault="00C6398C" w:rsidP="00EF15A2">
      <w:pPr>
        <w:pStyle w:val="BodyText1"/>
        <w:jc w:val="center"/>
      </w:pPr>
      <w:r>
        <w:rPr>
          <w:noProof/>
        </w:rPr>
        <w:drawing>
          <wp:inline distT="0" distB="0" distL="0" distR="0" wp14:anchorId="321D7F2C" wp14:editId="0B6184FA">
            <wp:extent cx="5040000" cy="2651815"/>
            <wp:effectExtent l="0" t="0" r="8255" b="0"/>
            <wp:docPr id="21336209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20963" name="Picture 2"/>
                    <pic:cNvPicPr>
                      <a:picLocks noChangeAspect="1" noChangeArrowheads="1"/>
                    </pic:cNvPicPr>
                  </pic:nvPicPr>
                  <pic:blipFill rotWithShape="1">
                    <a:blip r:embed="rId29">
                      <a:extLst>
                        <a:ext uri="{96DAC541-7B7A-43D3-8B79-37D633B846F1}">
                          <asvg:svgBlip xmlns:asvg="http://schemas.microsoft.com/office/drawing/2016/SVG/main" r:embed="rId30"/>
                        </a:ext>
                      </a:extLst>
                    </a:blip>
                    <a:srcRect l="5891" t="1268" r="5891" b="2032"/>
                    <a:stretch>
                      <a:fillRect/>
                    </a:stretch>
                  </pic:blipFill>
                  <pic:spPr bwMode="auto">
                    <a:xfrm>
                      <a:off x="0" y="0"/>
                      <a:ext cx="5040000" cy="2651815"/>
                    </a:xfrm>
                    <a:prstGeom prst="rect">
                      <a:avLst/>
                    </a:prstGeom>
                    <a:ln>
                      <a:noFill/>
                    </a:ln>
                    <a:extLst>
                      <a:ext uri="{53640926-AAD7-44D8-BBD7-CCE9431645EC}">
                        <a14:shadowObscured xmlns:a14="http://schemas.microsoft.com/office/drawing/2010/main"/>
                      </a:ext>
                    </a:extLst>
                  </pic:spPr>
                </pic:pic>
              </a:graphicData>
            </a:graphic>
          </wp:inline>
        </w:drawing>
      </w:r>
    </w:p>
    <w:p w14:paraId="2568D396" w14:textId="343315DA" w:rsidR="00383D2F" w:rsidRDefault="00433647" w:rsidP="00A65B0C">
      <w:pPr>
        <w:pStyle w:val="BodyText1"/>
        <w:rPr>
          <w:color w:val="auto"/>
        </w:rPr>
      </w:pPr>
      <w:r w:rsidRPr="004D67AE">
        <w:rPr>
          <w:color w:val="auto"/>
        </w:rPr>
        <w:lastRenderedPageBreak/>
        <w:t xml:space="preserve">Safeguard facilities that surrender ACCUs equivalent to 30% or more of their baseline must provide a statement explaining why the responsible emitter has not undertaken more onsite abatement. </w:t>
      </w:r>
      <w:r w:rsidR="00953DA7">
        <w:rPr>
          <w:color w:val="auto"/>
        </w:rPr>
        <w:t xml:space="preserve">These often </w:t>
      </w:r>
      <w:r w:rsidR="00FA75A5">
        <w:rPr>
          <w:color w:val="auto"/>
        </w:rPr>
        <w:t xml:space="preserve">cite </w:t>
      </w:r>
      <w:r w:rsidR="00A51EEF">
        <w:rPr>
          <w:color w:val="auto"/>
        </w:rPr>
        <w:t xml:space="preserve">low </w:t>
      </w:r>
      <w:r w:rsidR="00FA75A5">
        <w:rPr>
          <w:color w:val="auto"/>
        </w:rPr>
        <w:t xml:space="preserve">availability of </w:t>
      </w:r>
      <w:r w:rsidR="007D2F6A">
        <w:rPr>
          <w:color w:val="auto"/>
        </w:rPr>
        <w:t xml:space="preserve">affordable </w:t>
      </w:r>
      <w:r w:rsidR="00FA75A5">
        <w:rPr>
          <w:color w:val="auto"/>
        </w:rPr>
        <w:t>decarbonisation technologies</w:t>
      </w:r>
      <w:r w:rsidR="00D93E4E">
        <w:rPr>
          <w:color w:val="auto"/>
        </w:rPr>
        <w:t>,</w:t>
      </w:r>
      <w:r w:rsidR="00FA75A5">
        <w:rPr>
          <w:color w:val="auto"/>
        </w:rPr>
        <w:t xml:space="preserve"> and </w:t>
      </w:r>
      <w:r w:rsidR="007D2F6A">
        <w:rPr>
          <w:color w:val="auto"/>
        </w:rPr>
        <w:t>facilities’ operational circumstances</w:t>
      </w:r>
      <w:r w:rsidR="00D93E4E">
        <w:rPr>
          <w:color w:val="auto"/>
        </w:rPr>
        <w:t>,</w:t>
      </w:r>
      <w:r w:rsidR="007D2F6A">
        <w:rPr>
          <w:color w:val="auto"/>
        </w:rPr>
        <w:t xml:space="preserve"> </w:t>
      </w:r>
      <w:r w:rsidR="00964091">
        <w:rPr>
          <w:color w:val="auto"/>
        </w:rPr>
        <w:t xml:space="preserve">as the reasons </w:t>
      </w:r>
      <w:r w:rsidR="00451368">
        <w:rPr>
          <w:color w:val="auto"/>
        </w:rPr>
        <w:t>why more onsite abatement did not occur</w:t>
      </w:r>
      <w:r w:rsidR="00BA6095">
        <w:rPr>
          <w:color w:val="auto"/>
        </w:rPr>
        <w:t xml:space="preserve">. </w:t>
      </w:r>
      <w:r w:rsidRPr="004D67AE">
        <w:rPr>
          <w:color w:val="auto"/>
        </w:rPr>
        <w:t>For 202</w:t>
      </w:r>
      <w:r>
        <w:rPr>
          <w:color w:val="auto"/>
        </w:rPr>
        <w:t>4</w:t>
      </w:r>
      <w:r w:rsidRPr="004D67AE">
        <w:rPr>
          <w:color w:val="auto"/>
        </w:rPr>
        <w:t>–2</w:t>
      </w:r>
      <w:r>
        <w:rPr>
          <w:color w:val="auto"/>
        </w:rPr>
        <w:t>5</w:t>
      </w:r>
      <w:r w:rsidRPr="004D67AE">
        <w:rPr>
          <w:color w:val="auto"/>
        </w:rPr>
        <w:t xml:space="preserve">, </w:t>
      </w:r>
      <w:r w:rsidR="008E36D5">
        <w:rPr>
          <w:color w:val="auto"/>
        </w:rPr>
        <w:t>2</w:t>
      </w:r>
      <w:r w:rsidR="00272995">
        <w:rPr>
          <w:color w:val="auto"/>
        </w:rPr>
        <w:t>3</w:t>
      </w:r>
      <w:r w:rsidR="00DF5BD0">
        <w:rPr>
          <w:color w:val="auto"/>
        </w:rPr>
        <w:t> </w:t>
      </w:r>
      <w:r w:rsidRPr="004D67AE">
        <w:rPr>
          <w:color w:val="auto"/>
        </w:rPr>
        <w:t>facilities triggered this requirement</w:t>
      </w:r>
      <w:r w:rsidR="0058785D">
        <w:rPr>
          <w:color w:val="auto"/>
        </w:rPr>
        <w:t>.</w:t>
      </w:r>
    </w:p>
    <w:tbl>
      <w:tblPr>
        <w:tblStyle w:val="CERCallout"/>
        <w:tblW w:w="5000" w:type="pct"/>
        <w:tblLook w:val="0600" w:firstRow="0" w:lastRow="0" w:firstColumn="0" w:lastColumn="0" w:noHBand="1" w:noVBand="1"/>
        <w:tblCaption w:val="test"/>
        <w:tblDescription w:val="tesst"/>
      </w:tblPr>
      <w:tblGrid>
        <w:gridCol w:w="9710"/>
      </w:tblGrid>
      <w:tr w:rsidR="00DF0A2C" w14:paraId="2970B1FE" w14:textId="77777777">
        <w:trPr>
          <w:cantSplit w:val="0"/>
          <w:trHeight w:val="383"/>
        </w:trPr>
        <w:tc>
          <w:tcPr>
            <w:tcW w:w="5000" w:type="pct"/>
          </w:tcPr>
          <w:p w14:paraId="169D3E6E" w14:textId="57E4674B" w:rsidR="0058785D" w:rsidRPr="0092568B" w:rsidRDefault="008D563C" w:rsidP="00BF1514">
            <w:pPr>
              <w:pStyle w:val="CERbullets"/>
              <w:numPr>
                <w:ilvl w:val="0"/>
                <w:numId w:val="0"/>
              </w:numPr>
              <w:spacing w:after="0"/>
            </w:pPr>
            <w:r>
              <w:t>The statement</w:t>
            </w:r>
            <w:r w:rsidR="00FA354D">
              <w:t>s</w:t>
            </w:r>
            <w:r>
              <w:t xml:space="preserve"> by</w:t>
            </w:r>
            <w:r w:rsidR="00DD64AF">
              <w:t xml:space="preserve"> each </w:t>
            </w:r>
            <w:r w:rsidR="00545805">
              <w:t>facility</w:t>
            </w:r>
            <w:r w:rsidR="0058785D">
              <w:t xml:space="preserve"> </w:t>
            </w:r>
            <w:r w:rsidR="00721A50">
              <w:t xml:space="preserve">that surrendered ACCUs equivalent </w:t>
            </w:r>
            <w:r w:rsidR="00753FCB">
              <w:t>to 30% or more of their baseline</w:t>
            </w:r>
            <w:r w:rsidR="00FA354D">
              <w:t xml:space="preserve"> are</w:t>
            </w:r>
            <w:r w:rsidR="00753FCB">
              <w:t xml:space="preserve"> published</w:t>
            </w:r>
            <w:r w:rsidR="0058785D">
              <w:t xml:space="preserve"> </w:t>
            </w:r>
            <w:r w:rsidR="009B4887">
              <w:t>at</w:t>
            </w:r>
            <w:r w:rsidR="0058785D">
              <w:t xml:space="preserve"> </w:t>
            </w:r>
            <w:hyperlink r:id="rId31" w:anchor="accu-surrender-statements" w:history="1">
              <w:r w:rsidR="0058785D" w:rsidRPr="006072FF">
                <w:rPr>
                  <w:rStyle w:val="Hyperlink"/>
                  <w:rFonts w:asciiTheme="minorHAnsi" w:hAnsiTheme="minorHAnsi"/>
                </w:rPr>
                <w:t>ACCU surrender statements</w:t>
              </w:r>
            </w:hyperlink>
            <w:r w:rsidR="00DF5BD0">
              <w:rPr>
                <w:rStyle w:val="FootnoteReference"/>
              </w:rPr>
              <w:footnoteReference w:id="21"/>
            </w:r>
            <w:r w:rsidR="0058785D">
              <w:t>.</w:t>
            </w:r>
            <w:r w:rsidR="73F78537">
              <w:t xml:space="preserve"> </w:t>
            </w:r>
          </w:p>
        </w:tc>
      </w:tr>
    </w:tbl>
    <w:p w14:paraId="1B14BFB4" w14:textId="761FA839" w:rsidR="001377BB" w:rsidRDefault="001377BB" w:rsidP="002E1FBB">
      <w:pPr>
        <w:pStyle w:val="Heading2"/>
      </w:pPr>
      <w:bookmarkStart w:id="24" w:name="_Toc227062071"/>
      <w:bookmarkStart w:id="25" w:name="_Toc221806797"/>
      <w:r>
        <w:t xml:space="preserve">Use of </w:t>
      </w:r>
      <w:r w:rsidR="00C95E18">
        <w:t>f</w:t>
      </w:r>
      <w:r w:rsidR="005E4067">
        <w:t>l</w:t>
      </w:r>
      <w:r>
        <w:t xml:space="preserve">exibility </w:t>
      </w:r>
      <w:r w:rsidR="00C95E18">
        <w:t>m</w:t>
      </w:r>
      <w:r>
        <w:t>easures</w:t>
      </w:r>
      <w:bookmarkEnd w:id="24"/>
    </w:p>
    <w:tbl>
      <w:tblPr>
        <w:tblStyle w:val="CERCallout"/>
        <w:tblW w:w="5000" w:type="pct"/>
        <w:tblLook w:val="0600" w:firstRow="0" w:lastRow="0" w:firstColumn="0" w:lastColumn="0" w:noHBand="1" w:noVBand="1"/>
        <w:tblCaption w:val="test"/>
        <w:tblDescription w:val="tesst"/>
      </w:tblPr>
      <w:tblGrid>
        <w:gridCol w:w="9710"/>
      </w:tblGrid>
      <w:tr w:rsidR="00DF0A2C" w14:paraId="42279094" w14:textId="77777777">
        <w:trPr>
          <w:cantSplit w:val="0"/>
        </w:trPr>
        <w:tc>
          <w:tcPr>
            <w:tcW w:w="5000" w:type="pct"/>
          </w:tcPr>
          <w:p w14:paraId="3B094EEC" w14:textId="77777777" w:rsidR="00BB3A97" w:rsidRDefault="00BB3A97" w:rsidP="0004741E">
            <w:pPr>
              <w:spacing w:before="0" w:beforeAutospacing="0"/>
              <w:ind w:left="0"/>
            </w:pPr>
            <w:r>
              <w:t>Facilities’ access to Safeguard Mechanism flexibility measures is published in the:</w:t>
            </w:r>
          </w:p>
          <w:p w14:paraId="6F25907E" w14:textId="692D95AE" w:rsidR="00BB3A97" w:rsidRDefault="00BB3A97" w:rsidP="0004741E">
            <w:pPr>
              <w:pStyle w:val="CERbullets"/>
              <w:spacing w:before="0" w:beforeAutospacing="0" w:after="80"/>
              <w:ind w:left="641" w:hanging="357"/>
            </w:pPr>
            <w:hyperlink r:id="rId32" w:anchor="safeguard-teba-table" w:history="1">
              <w:r w:rsidRPr="00535E70">
                <w:rPr>
                  <w:rStyle w:val="Hyperlink"/>
                  <w:rFonts w:asciiTheme="minorHAnsi" w:hAnsiTheme="minorHAnsi"/>
                </w:rPr>
                <w:t>TEBA table</w:t>
              </w:r>
            </w:hyperlink>
            <w:r w:rsidR="00DF5BD0">
              <w:rPr>
                <w:rStyle w:val="FootnoteReference"/>
              </w:rPr>
              <w:footnoteReference w:id="22"/>
            </w:r>
          </w:p>
          <w:p w14:paraId="0F252D09" w14:textId="690046AE" w:rsidR="00BB3A97" w:rsidRDefault="00BB3A97" w:rsidP="00C74A1D">
            <w:pPr>
              <w:pStyle w:val="CERbullets"/>
            </w:pPr>
            <w:hyperlink r:id="rId33" w:anchor="multi-year-monitoring-period-table" w:history="1">
              <w:r w:rsidRPr="0024638E">
                <w:rPr>
                  <w:rStyle w:val="Hyperlink"/>
                  <w:rFonts w:asciiTheme="minorHAnsi" w:hAnsiTheme="minorHAnsi"/>
                </w:rPr>
                <w:t>MYMP table</w:t>
              </w:r>
            </w:hyperlink>
            <w:r w:rsidR="00DF5BD0">
              <w:rPr>
                <w:rStyle w:val="FootnoteReference"/>
              </w:rPr>
              <w:footnoteReference w:id="23"/>
            </w:r>
            <w:r>
              <w:t>.</w:t>
            </w:r>
          </w:p>
          <w:p w14:paraId="00AFC93E" w14:textId="1C9F148B" w:rsidR="00A24C0A" w:rsidRDefault="00A400DF" w:rsidP="00817D2A">
            <w:pPr>
              <w:pStyle w:val="CERbullets"/>
              <w:numPr>
                <w:ilvl w:val="0"/>
                <w:numId w:val="0"/>
              </w:numPr>
            </w:pPr>
            <w:r>
              <w:t xml:space="preserve">For each facility with a MYMP, the CER publishes </w:t>
            </w:r>
            <w:r w:rsidR="00FC0FE5">
              <w:t>the responsible emitter’s</w:t>
            </w:r>
            <w:r w:rsidR="006A0035">
              <w:t xml:space="preserve"> </w:t>
            </w:r>
            <w:hyperlink r:id="rId34" w:anchor="mymp-emission-reduction-summary-plan" w:history="1">
              <w:r w:rsidR="001C4D34" w:rsidRPr="00FA2DD0">
                <w:rPr>
                  <w:rStyle w:val="Hyperlink"/>
                  <w:rFonts w:asciiTheme="minorHAnsi" w:hAnsiTheme="minorHAnsi"/>
                </w:rPr>
                <w:t xml:space="preserve">MYMP emissions </w:t>
              </w:r>
              <w:r w:rsidR="006C5CF2" w:rsidRPr="00FA2DD0">
                <w:rPr>
                  <w:rStyle w:val="Hyperlink"/>
                  <w:rFonts w:asciiTheme="minorHAnsi" w:hAnsiTheme="minorHAnsi"/>
                </w:rPr>
                <w:t>reduction summary plan</w:t>
              </w:r>
            </w:hyperlink>
            <w:r w:rsidR="00DF5BD0">
              <w:rPr>
                <w:rStyle w:val="FootnoteReference"/>
              </w:rPr>
              <w:footnoteReference w:id="24"/>
            </w:r>
            <w:r w:rsidR="006C5CF2">
              <w:t>.</w:t>
            </w:r>
            <w:r w:rsidR="005A0121">
              <w:t xml:space="preserve"> </w:t>
            </w:r>
            <w:r w:rsidR="00FC0FE5">
              <w:t>When a MYMP concludes,</w:t>
            </w:r>
            <w:r w:rsidR="00AF24B4">
              <w:t xml:space="preserve"> the CER publishes the responsible emitter’s</w:t>
            </w:r>
            <w:r w:rsidR="00A24C0A">
              <w:t xml:space="preserve"> </w:t>
            </w:r>
            <w:hyperlink r:id="rId35" w:anchor="mymp-explanation-of-performance" w:history="1">
              <w:r w:rsidR="00A24C0A" w:rsidRPr="007871DF">
                <w:rPr>
                  <w:rStyle w:val="Hyperlink"/>
                  <w:rFonts w:asciiTheme="minorHAnsi" w:hAnsiTheme="minorHAnsi"/>
                </w:rPr>
                <w:t>MYMP explanation of performance</w:t>
              </w:r>
            </w:hyperlink>
            <w:r w:rsidR="00DF5BD0">
              <w:rPr>
                <w:rStyle w:val="FootnoteReference"/>
              </w:rPr>
              <w:footnoteReference w:id="25"/>
            </w:r>
            <w:r w:rsidR="00A24C0A">
              <w:t>.</w:t>
            </w:r>
          </w:p>
          <w:p w14:paraId="6AA474F3" w14:textId="259A5E81" w:rsidR="00BB3A97" w:rsidRPr="0092568B" w:rsidRDefault="00BB3A97" w:rsidP="002E1FBB">
            <w:pPr>
              <w:pStyle w:val="CERbullets"/>
              <w:numPr>
                <w:ilvl w:val="0"/>
                <w:numId w:val="0"/>
              </w:numPr>
              <w:spacing w:after="0"/>
            </w:pPr>
            <w:r>
              <w:t xml:space="preserve">Borrowing adjustments are detailed in the </w:t>
            </w:r>
            <w:hyperlink r:id="rId36" w:anchor="baselines-and-emissions-table" w:history="1">
              <w:r w:rsidR="00B730FD">
                <w:rPr>
                  <w:rStyle w:val="Hyperlink"/>
                  <w:rFonts w:asciiTheme="minorHAnsi" w:hAnsiTheme="minorHAnsi"/>
                </w:rPr>
                <w:t>b</w:t>
              </w:r>
              <w:r w:rsidRPr="008D4E29">
                <w:rPr>
                  <w:rStyle w:val="Hyperlink"/>
                  <w:rFonts w:asciiTheme="minorHAnsi" w:hAnsiTheme="minorHAnsi"/>
                </w:rPr>
                <w:t xml:space="preserve">aselines and </w:t>
              </w:r>
              <w:r w:rsidR="00B730FD">
                <w:rPr>
                  <w:rStyle w:val="Hyperlink"/>
                  <w:rFonts w:asciiTheme="minorHAnsi" w:hAnsiTheme="minorHAnsi"/>
                </w:rPr>
                <w:t>e</w:t>
              </w:r>
              <w:r w:rsidRPr="008D4E29">
                <w:rPr>
                  <w:rStyle w:val="Hyperlink"/>
                  <w:rFonts w:asciiTheme="minorHAnsi" w:hAnsiTheme="minorHAnsi"/>
                </w:rPr>
                <w:t>missions table</w:t>
              </w:r>
            </w:hyperlink>
            <w:r w:rsidR="00DF5BD0">
              <w:rPr>
                <w:rStyle w:val="FootnoteReference"/>
              </w:rPr>
              <w:footnoteReference w:id="26"/>
            </w:r>
            <w:r>
              <w:t xml:space="preserve">. </w:t>
            </w:r>
          </w:p>
        </w:tc>
      </w:tr>
    </w:tbl>
    <w:p w14:paraId="01010AEF" w14:textId="6F285262" w:rsidR="00634E1C" w:rsidRDefault="006C7EE2" w:rsidP="005D7214">
      <w:pPr>
        <w:spacing w:before="240"/>
      </w:pPr>
      <w:r>
        <w:t>10 f</w:t>
      </w:r>
      <w:r w:rsidR="007F4328" w:rsidRPr="002E1FBB">
        <w:t>acilities accessed flexibility measures for 2024–25</w:t>
      </w:r>
      <w:r w:rsidR="00634E1C" w:rsidRPr="002E1FBB">
        <w:t>, comprising 7 new TEBAs, 2 new MYMPs and 1 new borrowing adjustment determination.</w:t>
      </w:r>
      <w:r w:rsidR="00B9660E">
        <w:t xml:space="preserve"> Zero facilities accessed exemption declarations</w:t>
      </w:r>
      <w:r w:rsidR="00541D48">
        <w:t>.</w:t>
      </w:r>
      <w:r w:rsidR="00A2112E">
        <w:t xml:space="preserve"> </w:t>
      </w:r>
    </w:p>
    <w:p w14:paraId="44DBA85F" w14:textId="20072BA3" w:rsidR="001E7B74" w:rsidRDefault="001E7B74" w:rsidP="005D7214">
      <w:pPr>
        <w:spacing w:before="240"/>
      </w:pPr>
      <w:r>
        <w:t xml:space="preserve">Several facilities </w:t>
      </w:r>
      <w:r w:rsidR="00B41FC8">
        <w:t xml:space="preserve">had pre-existing </w:t>
      </w:r>
      <w:r w:rsidR="00C56793">
        <w:t xml:space="preserve">flexibility measures in train for </w:t>
      </w:r>
      <w:r w:rsidR="0039762D" w:rsidRPr="00643BFA">
        <w:t>2024–25</w:t>
      </w:r>
      <w:r w:rsidR="0039762D">
        <w:t>:</w:t>
      </w:r>
    </w:p>
    <w:p w14:paraId="58C9F5DD" w14:textId="37E24601" w:rsidR="00CB0B9A" w:rsidRDefault="001131C4" w:rsidP="00C02247">
      <w:pPr>
        <w:pStyle w:val="ListParagraph"/>
        <w:numPr>
          <w:ilvl w:val="0"/>
          <w:numId w:val="25"/>
        </w:numPr>
        <w:spacing w:before="240"/>
      </w:pPr>
      <w:r>
        <w:t>1</w:t>
      </w:r>
      <w:r w:rsidR="0011117A">
        <w:t>6</w:t>
      </w:r>
      <w:r>
        <w:t xml:space="preserve"> TEBAs commenced in previous years remained ongoing in </w:t>
      </w:r>
      <w:r w:rsidR="00B053F3" w:rsidRPr="009E6D62">
        <w:t>2024–25</w:t>
      </w:r>
      <w:r w:rsidR="00542630">
        <w:t xml:space="preserve">. </w:t>
      </w:r>
      <w:r w:rsidR="009E59E9">
        <w:t xml:space="preserve">1 was </w:t>
      </w:r>
      <w:r w:rsidR="00B053F3">
        <w:t>revoked and replaced by a new TEBA</w:t>
      </w:r>
      <w:r w:rsidR="00492ECA">
        <w:t xml:space="preserve"> for the same facility</w:t>
      </w:r>
      <w:r w:rsidR="00017A78">
        <w:t xml:space="preserve"> </w:t>
      </w:r>
      <w:r w:rsidR="006C7C9B" w:rsidRPr="009B4231">
        <w:t>for a period that overlap</w:t>
      </w:r>
      <w:r w:rsidR="00017A78">
        <w:t>ped</w:t>
      </w:r>
      <w:r w:rsidR="006C7C9B" w:rsidRPr="009B4231">
        <w:t xml:space="preserve"> with the original TEBA’s period</w:t>
      </w:r>
      <w:r w:rsidR="00D32D15">
        <w:t>.</w:t>
      </w:r>
    </w:p>
    <w:p w14:paraId="162BBD7B" w14:textId="0E135C5B" w:rsidR="003278AA" w:rsidRDefault="009A173E" w:rsidP="002E1FBB">
      <w:pPr>
        <w:pStyle w:val="ListParagraph"/>
        <w:numPr>
          <w:ilvl w:val="0"/>
          <w:numId w:val="25"/>
        </w:numPr>
        <w:spacing w:before="240"/>
      </w:pPr>
      <w:r>
        <w:t>7</w:t>
      </w:r>
      <w:r w:rsidR="00B04232">
        <w:t xml:space="preserve"> MYMPs commenced in previous years remained ongoing </w:t>
      </w:r>
      <w:r w:rsidR="009E59E9">
        <w:t xml:space="preserve">in </w:t>
      </w:r>
      <w:r w:rsidR="009E59E9" w:rsidRPr="009E6D62">
        <w:t>2024–25,</w:t>
      </w:r>
      <w:r w:rsidR="009E59E9">
        <w:t xml:space="preserve"> </w:t>
      </w:r>
      <w:r>
        <w:t>including</w:t>
      </w:r>
      <w:r w:rsidR="006D2BE1">
        <w:t xml:space="preserve"> 1 </w:t>
      </w:r>
      <w:r w:rsidR="00C7019A">
        <w:t xml:space="preserve">which </w:t>
      </w:r>
      <w:r w:rsidR="006D2BE1">
        <w:t xml:space="preserve">concluded </w:t>
      </w:r>
      <w:r w:rsidR="0072201C">
        <w:t xml:space="preserve">at the end of the financial year </w:t>
      </w:r>
      <w:r w:rsidR="0055102F">
        <w:t xml:space="preserve">with </w:t>
      </w:r>
      <w:r w:rsidR="00D45983">
        <w:t>its cumulative net emissions for its MYMP</w:t>
      </w:r>
      <w:r w:rsidR="00D257BC">
        <w:t xml:space="preserve"> below</w:t>
      </w:r>
      <w:r w:rsidR="009143DC">
        <w:t xml:space="preserve"> </w:t>
      </w:r>
      <w:r w:rsidR="00D257BC">
        <w:t>its</w:t>
      </w:r>
      <w:r w:rsidR="009143DC">
        <w:t xml:space="preserve"> </w:t>
      </w:r>
      <w:r w:rsidR="00D20A29">
        <w:t>cumulative baseline</w:t>
      </w:r>
      <w:r w:rsidR="009143DC">
        <w:t xml:space="preserve"> </w:t>
      </w:r>
      <w:r w:rsidR="00D20A29">
        <w:t xml:space="preserve">resulting in an SMC </w:t>
      </w:r>
      <w:r w:rsidR="00D257BC">
        <w:t>issuance</w:t>
      </w:r>
      <w:r w:rsidR="00D20A29">
        <w:t>.</w:t>
      </w:r>
    </w:p>
    <w:p w14:paraId="721184A6" w14:textId="365FA28B" w:rsidR="00B551BD" w:rsidRDefault="00242227" w:rsidP="002E1FBB">
      <w:pPr>
        <w:pStyle w:val="ListParagraph"/>
        <w:numPr>
          <w:ilvl w:val="0"/>
          <w:numId w:val="25"/>
        </w:numPr>
        <w:spacing w:before="240"/>
      </w:pPr>
      <w:r>
        <w:t xml:space="preserve">3 facilities </w:t>
      </w:r>
      <w:r w:rsidR="00EB4FD4">
        <w:t xml:space="preserve">had accessed borrowing adjustments for 2023–24 </w:t>
      </w:r>
      <w:r w:rsidR="00806262">
        <w:t xml:space="preserve">and had their baselines for 2024–25 </w:t>
      </w:r>
      <w:r w:rsidR="00387D2F">
        <w:t xml:space="preserve">decreased </w:t>
      </w:r>
      <w:r w:rsidR="009935B9">
        <w:t xml:space="preserve">by the borrowed amount plus 2% </w:t>
      </w:r>
      <w:r w:rsidR="00E93207">
        <w:t>‘</w:t>
      </w:r>
      <w:r w:rsidR="009935B9">
        <w:t>interest</w:t>
      </w:r>
      <w:r w:rsidR="00E93207">
        <w:t>’</w:t>
      </w:r>
      <w:r w:rsidR="009935B9">
        <w:t xml:space="preserve">. </w:t>
      </w:r>
    </w:p>
    <w:p w14:paraId="18CF8E90" w14:textId="2C3618E7" w:rsidR="001377BB" w:rsidRPr="001377BB" w:rsidRDefault="001377BB" w:rsidP="00CF09E0">
      <w:pPr>
        <w:pStyle w:val="Heading1"/>
      </w:pPr>
      <w:bookmarkStart w:id="26" w:name="_Toc227062072"/>
      <w:r>
        <w:lastRenderedPageBreak/>
        <w:t xml:space="preserve">Key </w:t>
      </w:r>
      <w:r w:rsidR="00E45255">
        <w:t>i</w:t>
      </w:r>
      <w:r>
        <w:t xml:space="preserve">ssues </w:t>
      </w:r>
      <w:r w:rsidR="00E45255">
        <w:t>b</w:t>
      </w:r>
      <w:r>
        <w:t xml:space="preserve">eyond </w:t>
      </w:r>
      <w:r w:rsidR="009B0E78">
        <w:t>2024–</w:t>
      </w:r>
      <w:r>
        <w:t>25</w:t>
      </w:r>
      <w:bookmarkEnd w:id="26"/>
    </w:p>
    <w:p w14:paraId="4B6B7D31" w14:textId="3B26059C" w:rsidR="005713D3" w:rsidRDefault="00166CBF" w:rsidP="00CF09E0">
      <w:pPr>
        <w:pStyle w:val="Heading2"/>
        <w:rPr>
          <w:b w:val="0"/>
        </w:rPr>
      </w:pPr>
      <w:bookmarkStart w:id="27" w:name="_Toc227062073"/>
      <w:r>
        <w:t>Continued</w:t>
      </w:r>
      <w:r w:rsidR="005713D3" w:rsidRPr="00AC1CF2">
        <w:t xml:space="preserve"> </w:t>
      </w:r>
      <w:r>
        <w:t>investment</w:t>
      </w:r>
      <w:r w:rsidR="005713D3" w:rsidRPr="00AC1CF2">
        <w:t xml:space="preserve"> in decarbonisation</w:t>
      </w:r>
      <w:r>
        <w:t xml:space="preserve"> is needed</w:t>
      </w:r>
      <w:bookmarkEnd w:id="27"/>
    </w:p>
    <w:p w14:paraId="7E3D89BD" w14:textId="59491CED" w:rsidR="00C35A1C" w:rsidRPr="00C901D2" w:rsidRDefault="00DE53B3" w:rsidP="00B66CE2">
      <w:pPr>
        <w:spacing w:before="240"/>
      </w:pPr>
      <w:r>
        <w:t xml:space="preserve">Although the reformed scheme is still in its early </w:t>
      </w:r>
      <w:r w:rsidRPr="00C901D2">
        <w:t xml:space="preserve">years, </w:t>
      </w:r>
      <w:r w:rsidR="00926320" w:rsidRPr="00C901D2">
        <w:t xml:space="preserve">the </w:t>
      </w:r>
      <w:r w:rsidR="00582C52" w:rsidRPr="00C901D2">
        <w:t>S</w:t>
      </w:r>
      <w:r w:rsidR="00926320" w:rsidRPr="00C901D2">
        <w:t xml:space="preserve">afeguard </w:t>
      </w:r>
      <w:r w:rsidR="00582C52" w:rsidRPr="00C901D2">
        <w:t>Mechanism</w:t>
      </w:r>
      <w:r w:rsidR="00926320" w:rsidRPr="00C901D2">
        <w:t xml:space="preserve"> </w:t>
      </w:r>
      <w:r w:rsidR="00582C52" w:rsidRPr="00C901D2">
        <w:t>continues to</w:t>
      </w:r>
      <w:r w:rsidR="00926320" w:rsidRPr="00C901D2">
        <w:t xml:space="preserve"> opera</w:t>
      </w:r>
      <w:r w:rsidR="00582C52" w:rsidRPr="00C901D2">
        <w:t>te</w:t>
      </w:r>
      <w:r w:rsidR="00926320" w:rsidRPr="00C901D2">
        <w:t xml:space="preserve"> as expected </w:t>
      </w:r>
      <w:r w:rsidR="00DA4CA7" w:rsidRPr="00C901D2">
        <w:t xml:space="preserve">and will continue to play a pivotal role </w:t>
      </w:r>
      <w:r w:rsidR="00CF09E0" w:rsidRPr="00C901D2">
        <w:t>by</w:t>
      </w:r>
      <w:r w:rsidR="009E3618" w:rsidRPr="00C901D2">
        <w:t xml:space="preserve"> progressively </w:t>
      </w:r>
      <w:r w:rsidR="004339DB" w:rsidRPr="00C901D2">
        <w:t xml:space="preserve">incentivising </w:t>
      </w:r>
      <w:r w:rsidR="001576DD" w:rsidRPr="00C901D2">
        <w:t>high</w:t>
      </w:r>
      <w:r w:rsidR="001576DD">
        <w:t>-</w:t>
      </w:r>
      <w:r w:rsidR="004339DB" w:rsidRPr="00C901D2">
        <w:t>emission</w:t>
      </w:r>
      <w:r w:rsidR="001576DD">
        <w:t>s</w:t>
      </w:r>
      <w:r w:rsidR="004339DB" w:rsidRPr="00C901D2">
        <w:t xml:space="preserve"> facilities to invest in strategies and new technologies to drive decarbonisation</w:t>
      </w:r>
      <w:r w:rsidR="00DA4CA7" w:rsidRPr="00C901D2">
        <w:t xml:space="preserve"> in future years. </w:t>
      </w:r>
    </w:p>
    <w:p w14:paraId="2CA19902" w14:textId="2F8B63B3" w:rsidR="0092011A" w:rsidRDefault="00AB4A61" w:rsidP="00E5432F">
      <w:pPr>
        <w:spacing w:before="240"/>
      </w:pPr>
      <w:r w:rsidRPr="00C901D2">
        <w:t>S</w:t>
      </w:r>
      <w:r w:rsidR="00DE53B3" w:rsidRPr="00C901D2">
        <w:t>ome facilities have already implemented commercial decarbonisation projects,</w:t>
      </w:r>
      <w:r w:rsidR="00DE53B3" w:rsidRPr="00C901D2" w:rsidDel="00B06C5A">
        <w:t xml:space="preserve"> </w:t>
      </w:r>
      <w:r w:rsidR="00DE53B3" w:rsidRPr="00C901D2">
        <w:t>and several others are in the process of developing</w:t>
      </w:r>
      <w:r w:rsidR="00DE53B3" w:rsidRPr="00C901D2" w:rsidDel="00B06C5A">
        <w:t xml:space="preserve"> </w:t>
      </w:r>
      <w:r w:rsidR="00DE53B3" w:rsidRPr="00C901D2">
        <w:t xml:space="preserve">projects (see </w:t>
      </w:r>
      <w:hyperlink w:anchor="_Spotlight:_Decarbonisation_technolo" w:history="1">
        <w:r w:rsidR="00DE53B3" w:rsidRPr="00F320AD">
          <w:rPr>
            <w:rStyle w:val="Hyperlink"/>
            <w:rFonts w:asciiTheme="minorHAnsi" w:hAnsiTheme="minorHAnsi"/>
          </w:rPr>
          <w:t xml:space="preserve">Spotlight: </w:t>
        </w:r>
        <w:r w:rsidR="00E45255">
          <w:rPr>
            <w:rStyle w:val="Hyperlink"/>
            <w:rFonts w:asciiTheme="minorHAnsi" w:hAnsiTheme="minorHAnsi"/>
          </w:rPr>
          <w:t>d</w:t>
        </w:r>
        <w:r w:rsidR="00DE53B3" w:rsidRPr="00F320AD">
          <w:rPr>
            <w:rStyle w:val="Hyperlink"/>
            <w:rFonts w:asciiTheme="minorHAnsi" w:hAnsiTheme="minorHAnsi"/>
          </w:rPr>
          <w:t>ecarbonisation technologies</w:t>
        </w:r>
      </w:hyperlink>
      <w:r w:rsidR="00DE53B3" w:rsidRPr="00C901D2">
        <w:t xml:space="preserve">). These early signs are promising. </w:t>
      </w:r>
      <w:r w:rsidR="004E4544" w:rsidRPr="00C901D2">
        <w:t>However</w:t>
      </w:r>
      <w:r w:rsidR="001A0FD1" w:rsidRPr="00C901D2">
        <w:t>,</w:t>
      </w:r>
      <w:r w:rsidR="004E4544" w:rsidRPr="00C901D2">
        <w:t xml:space="preserve"> </w:t>
      </w:r>
      <w:r w:rsidR="00DD2A84" w:rsidRPr="00C901D2">
        <w:t xml:space="preserve">as </w:t>
      </w:r>
      <w:r w:rsidR="005713D3" w:rsidRPr="00C901D2">
        <w:t xml:space="preserve">baselines progressively decline, </w:t>
      </w:r>
      <w:r w:rsidR="00370F31" w:rsidRPr="00C901D2">
        <w:t>on-site abatement</w:t>
      </w:r>
      <w:r w:rsidR="00370F31" w:rsidRPr="00370F31">
        <w:t xml:space="preserve"> will be</w:t>
      </w:r>
      <w:r w:rsidR="0014467E">
        <w:t>come</w:t>
      </w:r>
      <w:r w:rsidR="00370F31" w:rsidRPr="00370F31">
        <w:t xml:space="preserve"> increasingly key</w:t>
      </w:r>
      <w:r w:rsidR="00A4408C">
        <w:t xml:space="preserve"> for </w:t>
      </w:r>
      <w:r w:rsidR="00AD13E2">
        <w:t xml:space="preserve">responsible </w:t>
      </w:r>
      <w:r w:rsidR="00A4408C">
        <w:t>emitters to meet their safeguard obligations</w:t>
      </w:r>
      <w:r w:rsidR="0020200C">
        <w:t>.</w:t>
      </w:r>
      <w:r w:rsidR="00370F31" w:rsidRPr="00370F31">
        <w:t> </w:t>
      </w:r>
      <w:r w:rsidR="00CF0218">
        <w:t xml:space="preserve">On-site abatement can </w:t>
      </w:r>
      <w:r w:rsidR="00E65517">
        <w:t xml:space="preserve">consist of </w:t>
      </w:r>
      <w:r w:rsidR="00E87039">
        <w:t xml:space="preserve">abatement technologies, fuel switching </w:t>
      </w:r>
      <w:r w:rsidR="00E65517">
        <w:t xml:space="preserve">or </w:t>
      </w:r>
      <w:r w:rsidR="00CF0218">
        <w:t>operational improvements such as minimising gas leaks</w:t>
      </w:r>
      <w:r w:rsidR="00E87039">
        <w:t xml:space="preserve"> and</w:t>
      </w:r>
      <w:r w:rsidR="00CF0218">
        <w:t xml:space="preserve"> using more efficient equipment. </w:t>
      </w:r>
    </w:p>
    <w:p w14:paraId="3BFD797C" w14:textId="55CAF3E5" w:rsidR="005713D3" w:rsidRDefault="00B9489E" w:rsidP="00C901D2">
      <w:pPr>
        <w:spacing w:before="240"/>
        <w:rPr>
          <w:color w:val="auto"/>
        </w:rPr>
      </w:pPr>
      <w:r>
        <w:t>M</w:t>
      </w:r>
      <w:r w:rsidRPr="00B9489E">
        <w:t>aking the significant capital</w:t>
      </w:r>
      <w:r w:rsidR="00D35B36">
        <w:t xml:space="preserve"> </w:t>
      </w:r>
      <w:r w:rsidRPr="00B9489E">
        <w:t>investments to reduce on-site emissions is challenging and takes time</w:t>
      </w:r>
      <w:r w:rsidR="00BC583F">
        <w:t xml:space="preserve"> so </w:t>
      </w:r>
      <w:r w:rsidR="00BC583F" w:rsidRPr="00BC583F">
        <w:t xml:space="preserve">responsible emitters </w:t>
      </w:r>
      <w:r w:rsidR="00BC583F">
        <w:t>should</w:t>
      </w:r>
      <w:r w:rsidR="00BC583F" w:rsidRPr="00BC583F">
        <w:t xml:space="preserve"> be actively investigating </w:t>
      </w:r>
      <w:proofErr w:type="gramStart"/>
      <w:r w:rsidR="00BC583F" w:rsidRPr="00BC583F">
        <w:t>opportunities</w:t>
      </w:r>
      <w:r w:rsidR="00122D77">
        <w:t>, and</w:t>
      </w:r>
      <w:proofErr w:type="gramEnd"/>
      <w:r w:rsidR="00BC583F" w:rsidRPr="00BC583F">
        <w:t xml:space="preserve"> beginning to implement plans for emissions reductions</w:t>
      </w:r>
      <w:r w:rsidR="00122D77">
        <w:t xml:space="preserve"> wherever possible</w:t>
      </w:r>
      <w:r w:rsidR="00BC583F">
        <w:t>.</w:t>
      </w:r>
      <w:r w:rsidR="005713D3" w:rsidRPr="00371F26">
        <w:t xml:space="preserve"> </w:t>
      </w:r>
    </w:p>
    <w:p w14:paraId="062A6A09" w14:textId="0BF78595" w:rsidR="005713D3" w:rsidRDefault="00F869AA" w:rsidP="005713D3">
      <w:pPr>
        <w:rPr>
          <w:color w:val="auto"/>
        </w:rPr>
      </w:pPr>
      <w:r>
        <w:rPr>
          <w:color w:val="auto"/>
        </w:rPr>
        <w:t>S</w:t>
      </w:r>
      <w:r w:rsidR="005713D3">
        <w:rPr>
          <w:color w:val="auto"/>
        </w:rPr>
        <w:t xml:space="preserve">upport such as the </w:t>
      </w:r>
      <w:hyperlink r:id="rId37" w:tgtFrame="_blank" w:history="1">
        <w:r w:rsidR="005713D3" w:rsidRPr="00805B81">
          <w:rPr>
            <w:rStyle w:val="Hyperlink"/>
          </w:rPr>
          <w:t>Powering the Regions Fund Safeguard Transformation Stream</w:t>
        </w:r>
      </w:hyperlink>
      <w:r w:rsidR="005713D3">
        <w:rPr>
          <w:rStyle w:val="FootnoteReference"/>
        </w:rPr>
        <w:footnoteReference w:id="27"/>
      </w:r>
      <w:r w:rsidR="005713D3">
        <w:t xml:space="preserve"> may also be available to </w:t>
      </w:r>
      <w:r w:rsidR="005713D3">
        <w:rPr>
          <w:color w:val="auto"/>
        </w:rPr>
        <w:t xml:space="preserve">emitters beginning to decarbonise. </w:t>
      </w:r>
    </w:p>
    <w:p w14:paraId="24328289" w14:textId="14E41B6B" w:rsidR="005713D3" w:rsidRPr="00F84C6B" w:rsidRDefault="005713D3" w:rsidP="005713D3">
      <w:pPr>
        <w:pStyle w:val="Heading3"/>
        <w:spacing w:before="0"/>
      </w:pPr>
      <w:bookmarkStart w:id="28" w:name="_Spotlight:_Decarbonisation_technolo"/>
      <w:bookmarkStart w:id="29" w:name="_Toc227062074"/>
      <w:bookmarkEnd w:id="28"/>
      <w:r w:rsidRPr="00E02665">
        <w:t>Spotlight</w:t>
      </w:r>
      <w:r w:rsidRPr="00A20C32">
        <w:rPr>
          <w:rFonts w:eastAsiaTheme="minorEastAsia"/>
        </w:rPr>
        <w:t xml:space="preserve">: </w:t>
      </w:r>
      <w:r w:rsidR="00E45255">
        <w:rPr>
          <w:rFonts w:eastAsiaTheme="minorEastAsia"/>
        </w:rPr>
        <w:t>d</w:t>
      </w:r>
      <w:r w:rsidRPr="00A20C32">
        <w:rPr>
          <w:rFonts w:eastAsiaTheme="minorEastAsia"/>
        </w:rPr>
        <w:t>ecarbonisation technologies</w:t>
      </w:r>
      <w:bookmarkEnd w:id="29"/>
    </w:p>
    <w:tbl>
      <w:tblPr>
        <w:tblStyle w:val="TableGrid"/>
        <w:tblpPr w:leftFromText="180" w:rightFromText="180" w:vertAnchor="text" w:tblpY="1"/>
        <w:tblOverlap w:val="never"/>
        <w:tblW w:w="0" w:type="auto"/>
        <w:tblLook w:val="04A0" w:firstRow="1" w:lastRow="0" w:firstColumn="1" w:lastColumn="0" w:noHBand="0" w:noVBand="1"/>
      </w:tblPr>
      <w:tblGrid>
        <w:gridCol w:w="9730"/>
      </w:tblGrid>
      <w:tr w:rsidR="009F4E03" w14:paraId="5B374584" w14:textId="77777777">
        <w:tc>
          <w:tcPr>
            <w:tcW w:w="9730" w:type="dxa"/>
            <w:tcBorders>
              <w:top w:val="nil"/>
              <w:left w:val="nil"/>
              <w:bottom w:val="nil"/>
              <w:right w:val="nil"/>
            </w:tcBorders>
            <w:shd w:val="clear" w:color="auto" w:fill="EBF0E2" w:themeFill="accent1" w:themeFillTint="33"/>
          </w:tcPr>
          <w:p w14:paraId="40C67C24" w14:textId="77777777" w:rsidR="005713D3" w:rsidRPr="008C1537" w:rsidRDefault="005713D3" w:rsidP="0016582A">
            <w:pPr>
              <w:spacing w:before="240"/>
              <w:ind w:left="181"/>
              <w:rPr>
                <w:b/>
              </w:rPr>
            </w:pPr>
            <w:r w:rsidRPr="001E2FD3">
              <w:t>Early progress in safeguard decarbonisation has primarily involved concentrated deployment of emerging technologies in the manufacturing, oil and gas, and metal ore mining sectors. Some of the technologies currently being used by safeguard emitters to</w:t>
            </w:r>
            <w:r>
              <w:t xml:space="preserve"> decarbonise are</w:t>
            </w:r>
            <w:r w:rsidRPr="008C1537">
              <w:t xml:space="preserve"> tertiary</w:t>
            </w:r>
            <w:r>
              <w:t xml:space="preserve"> </w:t>
            </w:r>
            <w:r w:rsidRPr="008C1537">
              <w:t>abatement, carbon capture and storage, and electrification.</w:t>
            </w:r>
          </w:p>
          <w:p w14:paraId="199537AA" w14:textId="77777777" w:rsidR="005713D3" w:rsidRPr="0016582A" w:rsidRDefault="005713D3" w:rsidP="0016582A">
            <w:pPr>
              <w:spacing w:before="120"/>
              <w:ind w:left="181"/>
              <w:rPr>
                <w:b/>
                <w:bCs/>
              </w:rPr>
            </w:pPr>
            <w:r w:rsidRPr="0016582A">
              <w:rPr>
                <w:b/>
                <w:bCs/>
              </w:rPr>
              <w:t>Tertiary abatement</w:t>
            </w:r>
          </w:p>
          <w:p w14:paraId="0C852C48" w14:textId="77777777" w:rsidR="005713D3" w:rsidRDefault="005713D3" w:rsidP="00B46606">
            <w:pPr>
              <w:spacing w:before="120"/>
              <w:ind w:left="181"/>
            </w:pPr>
            <w:r w:rsidRPr="008864EF">
              <w:t>Tertiary abatement is an emissions reduction technology that is being used by safeguard facilities in the chemical manufacturing industry to reduce nitrous oxide (</w:t>
            </w:r>
            <w:r w:rsidRPr="001030D5">
              <w:t>N₂O</w:t>
            </w:r>
            <w:r w:rsidRPr="008864EF">
              <w:t>) emissions</w:t>
            </w:r>
            <w:r>
              <w:t>,</w:t>
            </w:r>
            <w:r w:rsidRPr="008864EF">
              <w:t xml:space="preserve"> </w:t>
            </w:r>
            <w:r w:rsidRPr="00FF71DC">
              <w:t xml:space="preserve">a large contributor to scope 1 </w:t>
            </w:r>
            <w:proofErr w:type="gramStart"/>
            <w:r w:rsidRPr="00FF71DC">
              <w:t>emissions</w:t>
            </w:r>
            <w:proofErr w:type="gramEnd"/>
            <w:r w:rsidRPr="008864EF">
              <w:t>. Nitrous oxide has a global warming potential</w:t>
            </w:r>
            <w:r>
              <w:t xml:space="preserve"> </w:t>
            </w:r>
            <w:r w:rsidRPr="008864EF">
              <w:t>265 times greater than carbon dioxide</w:t>
            </w:r>
            <w:r w:rsidRPr="00FF71DC">
              <w:t>. It is often</w:t>
            </w:r>
            <w:r w:rsidRPr="008864EF">
              <w:t xml:space="preserve"> </w:t>
            </w:r>
            <w:r w:rsidRPr="00FF71DC">
              <w:t xml:space="preserve">released </w:t>
            </w:r>
            <w:r w:rsidRPr="008864EF">
              <w:t>as a by-product</w:t>
            </w:r>
            <w:r w:rsidRPr="00565447">
              <w:t xml:space="preserve"> of nitric acid production. </w:t>
            </w:r>
          </w:p>
          <w:p w14:paraId="10468C29" w14:textId="69B58D95" w:rsidR="00B337BF" w:rsidRPr="00B46606" w:rsidRDefault="005713D3" w:rsidP="00B46606">
            <w:pPr>
              <w:spacing w:before="120"/>
              <w:ind w:left="181"/>
            </w:pPr>
            <w:r w:rsidRPr="00565447">
              <w:t>Tertiary abatement systems use a catalytic process to break down nitrous oxide into nitrogen and oxygen</w:t>
            </w:r>
            <w:r>
              <w:t xml:space="preserve">, </w:t>
            </w:r>
            <w:r w:rsidRPr="00E71CA3">
              <w:t xml:space="preserve">removing its global warming </w:t>
            </w:r>
            <w:r w:rsidRPr="00DF7CBA">
              <w:t xml:space="preserve">potential. </w:t>
            </w:r>
            <w:r>
              <w:t>These projects have</w:t>
            </w:r>
            <w:r w:rsidRPr="00DF7CBA">
              <w:t xml:space="preserve"> </w:t>
            </w:r>
            <w:r>
              <w:t xml:space="preserve">reduced </w:t>
            </w:r>
            <w:r w:rsidRPr="00DF7CBA">
              <w:t xml:space="preserve">nitrous oxide emissions </w:t>
            </w:r>
            <w:r>
              <w:t>from their facilities</w:t>
            </w:r>
            <w:r w:rsidRPr="00DF7CBA">
              <w:t xml:space="preserve"> </w:t>
            </w:r>
            <w:r>
              <w:t>by</w:t>
            </w:r>
            <w:r w:rsidRPr="00DF7CBA">
              <w:t xml:space="preserve"> 95%</w:t>
            </w:r>
            <w:r>
              <w:t xml:space="preserve"> or more</w:t>
            </w:r>
            <w:r w:rsidRPr="00DF7CBA">
              <w:t>. Th</w:t>
            </w:r>
            <w:r w:rsidRPr="00565447">
              <w:t xml:space="preserve">e technology is currently </w:t>
            </w:r>
            <w:r>
              <w:t>used by several safeguard facilities</w:t>
            </w:r>
            <w:r w:rsidRPr="00565447">
              <w:t xml:space="preserve"> across the chemical manufacturing sector due to its proven commercial viability.</w:t>
            </w:r>
          </w:p>
          <w:p w14:paraId="6CB3C614" w14:textId="7279D6DC" w:rsidR="005713D3" w:rsidRPr="0016582A" w:rsidRDefault="005713D3" w:rsidP="0016582A">
            <w:pPr>
              <w:spacing w:before="120"/>
              <w:ind w:left="181"/>
              <w:rPr>
                <w:b/>
                <w:bCs/>
              </w:rPr>
            </w:pPr>
            <w:r w:rsidRPr="0016582A">
              <w:rPr>
                <w:b/>
                <w:bCs/>
              </w:rPr>
              <w:t>Carbon capture and storage (CCS)</w:t>
            </w:r>
          </w:p>
          <w:p w14:paraId="47C2CFCC" w14:textId="77777777" w:rsidR="005713D3" w:rsidRDefault="005713D3" w:rsidP="00B46606">
            <w:pPr>
              <w:spacing w:before="120"/>
              <w:ind w:left="181"/>
            </w:pPr>
            <w:r w:rsidRPr="008864EF">
              <w:t>CCS is a</w:t>
            </w:r>
            <w:r>
              <w:t xml:space="preserve"> </w:t>
            </w:r>
            <w:r w:rsidRPr="00072AEC">
              <w:t>decarbonisation</w:t>
            </w:r>
            <w:r w:rsidRPr="008864EF">
              <w:t xml:space="preserve"> technology </w:t>
            </w:r>
            <w:r>
              <w:t xml:space="preserve">used </w:t>
            </w:r>
            <w:r w:rsidRPr="008864EF">
              <w:t>for managing emissions from the oil and gas industry. CCS systems capture carbon dioxide em</w:t>
            </w:r>
            <w:r w:rsidRPr="00DF500B">
              <w:t>issions from oil and gas extraction, production and transport processes and permanently</w:t>
            </w:r>
            <w:r w:rsidRPr="00AB62D5">
              <w:t xml:space="preserve"> store </w:t>
            </w:r>
            <w:r w:rsidRPr="00142214">
              <w:t>them</w:t>
            </w:r>
            <w:r w:rsidRPr="00AB62D5">
              <w:t xml:space="preserve"> underground in geological formations</w:t>
            </w:r>
            <w:r w:rsidRPr="00142214">
              <w:t xml:space="preserve"> so that they are not</w:t>
            </w:r>
            <w:r w:rsidRPr="00AB62D5">
              <w:t xml:space="preserve"> released into the </w:t>
            </w:r>
            <w:r w:rsidRPr="00170D82">
              <w:t xml:space="preserve">atmosphere. </w:t>
            </w:r>
          </w:p>
          <w:p w14:paraId="17AA998E" w14:textId="4263A413" w:rsidR="005713D3" w:rsidRPr="00FF71DC" w:rsidRDefault="005713D3" w:rsidP="00964091">
            <w:pPr>
              <w:spacing w:before="480"/>
              <w:ind w:left="181"/>
              <w:rPr>
                <w:highlight w:val="magenta"/>
              </w:rPr>
            </w:pPr>
            <w:r w:rsidRPr="00170D82">
              <w:lastRenderedPageBreak/>
              <w:t xml:space="preserve">While the scale and performance of CCS projects vary, the technology </w:t>
            </w:r>
            <w:r w:rsidRPr="00142214">
              <w:t>has potential to</w:t>
            </w:r>
            <w:r w:rsidRPr="00170D82">
              <w:t xml:space="preserve"> achieve large</w:t>
            </w:r>
            <w:r w:rsidRPr="00170D82">
              <w:rPr>
                <w:rFonts w:ascii="Cambria Math" w:hAnsi="Cambria Math" w:cs="Cambria Math"/>
              </w:rPr>
              <w:t>‑</w:t>
            </w:r>
            <w:r w:rsidRPr="00170D82">
              <w:t>volume abatement when geological conditions</w:t>
            </w:r>
            <w:r w:rsidRPr="00307687">
              <w:t>, capture feasibility and supporting</w:t>
            </w:r>
            <w:r w:rsidRPr="00170D82">
              <w:t xml:space="preserve"> infrastructure align. There are currently </w:t>
            </w:r>
            <w:r w:rsidR="007E0AEF">
              <w:t>2</w:t>
            </w:r>
            <w:r w:rsidRPr="00170D82">
              <w:t xml:space="preserve"> CCS projects in commercial operation by safeguard emitters. </w:t>
            </w:r>
            <w:proofErr w:type="gramStart"/>
            <w:r w:rsidRPr="00170D82">
              <w:t>A number of</w:t>
            </w:r>
            <w:proofErr w:type="gramEnd"/>
            <w:r w:rsidRPr="00170D82">
              <w:t xml:space="preserve"> other CCS projects are under development in Australia. </w:t>
            </w:r>
          </w:p>
          <w:p w14:paraId="06D1AB44" w14:textId="618F1866" w:rsidR="005713D3" w:rsidRPr="0016582A" w:rsidRDefault="005713D3" w:rsidP="0016582A">
            <w:pPr>
              <w:spacing w:before="120"/>
              <w:ind w:left="181"/>
              <w:rPr>
                <w:b/>
                <w:bCs/>
              </w:rPr>
            </w:pPr>
            <w:r w:rsidRPr="0016582A">
              <w:rPr>
                <w:b/>
                <w:bCs/>
              </w:rPr>
              <w:t>Electrification</w:t>
            </w:r>
          </w:p>
          <w:p w14:paraId="34A3F88A" w14:textId="77777777" w:rsidR="005713D3" w:rsidRDefault="005713D3" w:rsidP="00B46606">
            <w:pPr>
              <w:spacing w:before="120"/>
              <w:ind w:left="181"/>
            </w:pPr>
            <w:r w:rsidRPr="00CD618A">
              <w:t xml:space="preserve">Electrification remains a critical pathway for reducing industrial emissions, particularly where equipment and vehicles can be powered by renewable electricity. Advances in battery storage, electric motors and charging systems are expanding the range of applications suited to electrification. </w:t>
            </w:r>
          </w:p>
          <w:p w14:paraId="11829FC0" w14:textId="77777777" w:rsidR="005713D3" w:rsidRPr="006C7B2D" w:rsidRDefault="005713D3" w:rsidP="00B46606">
            <w:pPr>
              <w:spacing w:before="120"/>
              <w:ind w:left="181"/>
            </w:pPr>
            <w:r w:rsidRPr="00CD618A">
              <w:t xml:space="preserve">Safeguard facilities have conducted trials of electric haulage systems, charging depots and electrified production equipment. </w:t>
            </w:r>
            <w:r>
              <w:t>T</w:t>
            </w:r>
            <w:r w:rsidRPr="00CD618A">
              <w:t xml:space="preserve">he scale and pace of </w:t>
            </w:r>
            <w:r>
              <w:t xml:space="preserve">electrification </w:t>
            </w:r>
            <w:r w:rsidRPr="00CD618A">
              <w:t>adoption var</w:t>
            </w:r>
            <w:r>
              <w:t>y</w:t>
            </w:r>
            <w:r w:rsidRPr="00CD618A">
              <w:t>,</w:t>
            </w:r>
            <w:r>
              <w:t xml:space="preserve"> and some projects have experienced setbacks due to supplier delays or commercial costs.</w:t>
            </w:r>
            <w:r w:rsidRPr="00CD618A">
              <w:t xml:space="preserve"> </w:t>
            </w:r>
            <w:r>
              <w:t>However,</w:t>
            </w:r>
            <w:r w:rsidRPr="00CD618A">
              <w:t xml:space="preserve"> electrification </w:t>
            </w:r>
            <w:r>
              <w:t xml:space="preserve">could </w:t>
            </w:r>
            <w:r w:rsidRPr="00CD618A">
              <w:t xml:space="preserve">provide </w:t>
            </w:r>
            <w:r>
              <w:t xml:space="preserve">many </w:t>
            </w:r>
            <w:r w:rsidRPr="00CD618A">
              <w:t>safeguard facilities with</w:t>
            </w:r>
            <w:r>
              <w:t xml:space="preserve"> the opportunity for</w:t>
            </w:r>
            <w:r w:rsidRPr="00CD618A">
              <w:t xml:space="preserve"> reliable long</w:t>
            </w:r>
            <w:r w:rsidRPr="00CD618A">
              <w:rPr>
                <w:rFonts w:ascii="Cambria Math" w:hAnsi="Cambria Math" w:cs="Cambria Math"/>
              </w:rPr>
              <w:t>‑</w:t>
            </w:r>
            <w:r w:rsidRPr="00CD618A">
              <w:t>term emission</w:t>
            </w:r>
            <w:r>
              <w:t>s</w:t>
            </w:r>
            <w:r w:rsidRPr="00CD618A">
              <w:t xml:space="preserve"> reductions. </w:t>
            </w:r>
          </w:p>
        </w:tc>
      </w:tr>
    </w:tbl>
    <w:p w14:paraId="5D8390B1" w14:textId="61790012" w:rsidR="006E0638" w:rsidRPr="005354B6" w:rsidRDefault="00790FD9" w:rsidP="00C901D2">
      <w:pPr>
        <w:pStyle w:val="Heading2"/>
        <w:rPr>
          <w:rFonts w:eastAsiaTheme="minorHAnsi"/>
        </w:rPr>
      </w:pPr>
      <w:bookmarkStart w:id="30" w:name="_Toc227062075"/>
      <w:r w:rsidRPr="005354B6">
        <w:rPr>
          <w:rFonts w:eastAsiaTheme="minorHAnsi"/>
        </w:rPr>
        <w:lastRenderedPageBreak/>
        <w:t xml:space="preserve">Conclusion: </w:t>
      </w:r>
      <w:r w:rsidR="00A65B0C">
        <w:rPr>
          <w:rFonts w:eastAsiaTheme="minorHAnsi"/>
        </w:rPr>
        <w:t>p</w:t>
      </w:r>
      <w:r w:rsidR="007E029B">
        <w:rPr>
          <w:rFonts w:eastAsiaTheme="minorHAnsi"/>
        </w:rPr>
        <w:t>romising progress</w:t>
      </w:r>
      <w:r w:rsidR="006E0638" w:rsidRPr="005354B6">
        <w:rPr>
          <w:rFonts w:eastAsiaTheme="minorHAnsi"/>
        </w:rPr>
        <w:t>, but continued action is needed</w:t>
      </w:r>
      <w:bookmarkEnd w:id="25"/>
      <w:bookmarkEnd w:id="30"/>
      <w:r w:rsidR="006E0638" w:rsidRPr="005354B6">
        <w:rPr>
          <w:rFonts w:eastAsiaTheme="minorHAnsi"/>
        </w:rPr>
        <w:t xml:space="preserve"> </w:t>
      </w:r>
    </w:p>
    <w:p w14:paraId="3808B592" w14:textId="78C3AB8A" w:rsidR="002F2EAB" w:rsidRDefault="00252DE4" w:rsidP="00A65B0C">
      <w:pPr>
        <w:spacing w:before="240"/>
        <w:rPr>
          <w:color w:val="auto"/>
        </w:rPr>
      </w:pPr>
      <w:r>
        <w:rPr>
          <w:color w:val="auto"/>
        </w:rPr>
        <w:t>Whil</w:t>
      </w:r>
      <w:r w:rsidR="001F0A76">
        <w:rPr>
          <w:color w:val="auto"/>
        </w:rPr>
        <w:t>e</w:t>
      </w:r>
      <w:r>
        <w:rPr>
          <w:color w:val="auto"/>
        </w:rPr>
        <w:t xml:space="preserve"> only </w:t>
      </w:r>
      <w:r w:rsidR="007E0AEF">
        <w:rPr>
          <w:color w:val="auto"/>
        </w:rPr>
        <w:t>2</w:t>
      </w:r>
      <w:r>
        <w:rPr>
          <w:color w:val="auto"/>
        </w:rPr>
        <w:t xml:space="preserve"> reporting periods </w:t>
      </w:r>
      <w:r w:rsidR="00143F3B">
        <w:rPr>
          <w:color w:val="auto"/>
        </w:rPr>
        <w:t xml:space="preserve">have been </w:t>
      </w:r>
      <w:r w:rsidR="00143F3B" w:rsidRPr="00F3135B">
        <w:rPr>
          <w:color w:val="auto"/>
        </w:rPr>
        <w:t xml:space="preserve">completed </w:t>
      </w:r>
      <w:r w:rsidRPr="00F3135B">
        <w:rPr>
          <w:color w:val="auto"/>
        </w:rPr>
        <w:t xml:space="preserve">since the </w:t>
      </w:r>
      <w:r w:rsidR="005F547A" w:rsidRPr="00F3135B">
        <w:rPr>
          <w:color w:val="auto"/>
        </w:rPr>
        <w:t>Safeguard Mechanism</w:t>
      </w:r>
      <w:r w:rsidRPr="00F3135B">
        <w:rPr>
          <w:color w:val="auto"/>
        </w:rPr>
        <w:t xml:space="preserve"> was </w:t>
      </w:r>
      <w:r w:rsidR="0040461C" w:rsidRPr="00F3135B">
        <w:rPr>
          <w:color w:val="auto"/>
        </w:rPr>
        <w:t xml:space="preserve">reformed, </w:t>
      </w:r>
      <w:r w:rsidR="00F54916" w:rsidRPr="005547CB">
        <w:rPr>
          <w:color w:val="auto"/>
        </w:rPr>
        <w:t>initial results are</w:t>
      </w:r>
      <w:r w:rsidR="0021263C" w:rsidRPr="005547CB">
        <w:rPr>
          <w:color w:val="auto"/>
        </w:rPr>
        <w:t xml:space="preserve"> </w:t>
      </w:r>
      <w:r w:rsidR="00410779" w:rsidRPr="005547CB">
        <w:rPr>
          <w:color w:val="auto"/>
        </w:rPr>
        <w:t>positive</w:t>
      </w:r>
      <w:r w:rsidR="00357E55" w:rsidRPr="005547CB">
        <w:rPr>
          <w:color w:val="auto"/>
        </w:rPr>
        <w:t>,</w:t>
      </w:r>
      <w:r w:rsidR="00357E55" w:rsidRPr="00F3135B">
        <w:rPr>
          <w:color w:val="auto"/>
        </w:rPr>
        <w:t xml:space="preserve"> with </w:t>
      </w:r>
      <w:r w:rsidR="001F5AF0" w:rsidRPr="00F3135B">
        <w:rPr>
          <w:color w:val="auto"/>
        </w:rPr>
        <w:t>emissions</w:t>
      </w:r>
      <w:r w:rsidR="00357E55" w:rsidRPr="00F3135B">
        <w:rPr>
          <w:color w:val="auto"/>
        </w:rPr>
        <w:t xml:space="preserve"> </w:t>
      </w:r>
      <w:r w:rsidR="0043289B" w:rsidRPr="00F3135B">
        <w:rPr>
          <w:color w:val="auto"/>
        </w:rPr>
        <w:t>continuing</w:t>
      </w:r>
      <w:r w:rsidR="00357E55" w:rsidRPr="00F3135B">
        <w:rPr>
          <w:color w:val="auto"/>
        </w:rPr>
        <w:t xml:space="preserve"> a downward trajectory </w:t>
      </w:r>
      <w:r w:rsidR="003E215E" w:rsidRPr="00F3135B">
        <w:rPr>
          <w:color w:val="auto"/>
        </w:rPr>
        <w:t>consistent</w:t>
      </w:r>
      <w:r w:rsidR="00B63D9F" w:rsidRPr="00F3135B">
        <w:rPr>
          <w:color w:val="auto"/>
        </w:rPr>
        <w:t xml:space="preserve"> with the </w:t>
      </w:r>
      <w:r w:rsidR="009E05E9" w:rsidRPr="00F3135B">
        <w:rPr>
          <w:color w:val="auto"/>
        </w:rPr>
        <w:t xml:space="preserve">scheme’s </w:t>
      </w:r>
      <w:r w:rsidR="00B63D9F" w:rsidRPr="00F3135B">
        <w:rPr>
          <w:color w:val="auto"/>
        </w:rPr>
        <w:t>objectives</w:t>
      </w:r>
      <w:r w:rsidR="00BF24FD" w:rsidRPr="00F3135B">
        <w:rPr>
          <w:color w:val="auto"/>
        </w:rPr>
        <w:t>.</w:t>
      </w:r>
      <w:r w:rsidR="00895333" w:rsidRPr="00F3135B">
        <w:rPr>
          <w:color w:val="auto"/>
        </w:rPr>
        <w:t xml:space="preserve"> </w:t>
      </w:r>
      <w:r w:rsidR="00AE1EDE" w:rsidRPr="00F3135B">
        <w:rPr>
          <w:color w:val="auto"/>
        </w:rPr>
        <w:t xml:space="preserve">Net emissions </w:t>
      </w:r>
      <w:r w:rsidR="00AD0078">
        <w:rPr>
          <w:color w:val="auto"/>
        </w:rPr>
        <w:t xml:space="preserve">have declined </w:t>
      </w:r>
      <w:r w:rsidR="00AD4364">
        <w:rPr>
          <w:color w:val="auto"/>
        </w:rPr>
        <w:t xml:space="preserve">by </w:t>
      </w:r>
      <w:r w:rsidR="00E5035D">
        <w:rPr>
          <w:color w:val="auto"/>
        </w:rPr>
        <w:t>17.5</w:t>
      </w:r>
      <w:r w:rsidR="00AD4364">
        <w:rPr>
          <w:color w:val="auto"/>
        </w:rPr>
        <w:t xml:space="preserve"> </w:t>
      </w:r>
      <w:r w:rsidR="00AD4364" w:rsidRPr="00F3135B">
        <w:rPr>
          <w:color w:val="auto"/>
        </w:rPr>
        <w:t xml:space="preserve">Mt </w:t>
      </w:r>
      <w:r w:rsidR="00AD4364" w:rsidRPr="00EF1B15">
        <w:rPr>
          <w:color w:val="auto"/>
        </w:rPr>
        <w:t>CO</w:t>
      </w:r>
      <w:r w:rsidR="00AD4364" w:rsidRPr="00DD39A3">
        <w:rPr>
          <w:color w:val="auto"/>
          <w:vertAlign w:val="subscript"/>
        </w:rPr>
        <w:t>2</w:t>
      </w:r>
      <w:r w:rsidR="00AD4364" w:rsidRPr="00EF1B15">
        <w:rPr>
          <w:color w:val="auto"/>
        </w:rPr>
        <w:t>-e (</w:t>
      </w:r>
      <w:r w:rsidR="00EF1B15" w:rsidRPr="00EE7ABF">
        <w:rPr>
          <w:color w:val="auto"/>
        </w:rPr>
        <w:t>12.7</w:t>
      </w:r>
      <w:r w:rsidR="00AD4364" w:rsidRPr="00EF1B15">
        <w:rPr>
          <w:color w:val="auto"/>
        </w:rPr>
        <w:t xml:space="preserve">%) </w:t>
      </w:r>
      <w:r w:rsidR="00AD0078" w:rsidRPr="00EF1B15">
        <w:rPr>
          <w:color w:val="auto"/>
        </w:rPr>
        <w:t>since</w:t>
      </w:r>
      <w:r w:rsidR="00AD0078">
        <w:rPr>
          <w:color w:val="auto"/>
        </w:rPr>
        <w:t xml:space="preserve"> </w:t>
      </w:r>
      <w:r w:rsidR="00916368">
        <w:rPr>
          <w:color w:val="auto"/>
        </w:rPr>
        <w:t xml:space="preserve">the reform of the scheme and </w:t>
      </w:r>
      <w:r w:rsidR="00AE1EDE" w:rsidRPr="00F3135B">
        <w:rPr>
          <w:color w:val="auto"/>
        </w:rPr>
        <w:t>are tracking below the trajectory for the</w:t>
      </w:r>
      <w:r w:rsidR="003A093D">
        <w:rPr>
          <w:color w:val="auto"/>
        </w:rPr>
        <w:t xml:space="preserve"> scheme’s objective of</w:t>
      </w:r>
      <w:r w:rsidR="00AE1EDE" w:rsidRPr="00F3135B">
        <w:rPr>
          <w:color w:val="auto"/>
        </w:rPr>
        <w:t xml:space="preserve"> ≤ 100 Mt CO</w:t>
      </w:r>
      <w:r w:rsidR="00AE1EDE" w:rsidRPr="00DD39A3">
        <w:rPr>
          <w:color w:val="auto"/>
          <w:vertAlign w:val="subscript"/>
        </w:rPr>
        <w:t>2</w:t>
      </w:r>
      <w:r w:rsidR="00AE1EDE" w:rsidRPr="00F3135B">
        <w:rPr>
          <w:color w:val="auto"/>
        </w:rPr>
        <w:t>-e</w:t>
      </w:r>
      <w:r w:rsidR="001E7E24">
        <w:rPr>
          <w:color w:val="auto"/>
        </w:rPr>
        <w:t xml:space="preserve"> </w:t>
      </w:r>
      <w:r w:rsidR="00877C7C">
        <w:rPr>
          <w:color w:val="auto"/>
        </w:rPr>
        <w:t>of</w:t>
      </w:r>
      <w:r w:rsidR="001342DC">
        <w:rPr>
          <w:color w:val="auto"/>
        </w:rPr>
        <w:t xml:space="preserve"> net emissions in</w:t>
      </w:r>
      <w:r w:rsidR="00877C7C">
        <w:rPr>
          <w:color w:val="auto"/>
        </w:rPr>
        <w:t xml:space="preserve"> the</w:t>
      </w:r>
      <w:r w:rsidR="001342DC">
        <w:rPr>
          <w:color w:val="auto"/>
        </w:rPr>
        <w:t xml:space="preserve"> </w:t>
      </w:r>
      <w:r w:rsidR="001E7E24" w:rsidRPr="00F3135B">
        <w:rPr>
          <w:color w:val="auto"/>
        </w:rPr>
        <w:t>2029–30</w:t>
      </w:r>
      <w:r w:rsidR="00877C7C">
        <w:rPr>
          <w:color w:val="auto"/>
        </w:rPr>
        <w:t xml:space="preserve"> financial year</w:t>
      </w:r>
      <w:r w:rsidR="00AE1EDE" w:rsidRPr="00F3135B">
        <w:rPr>
          <w:color w:val="auto"/>
        </w:rPr>
        <w:t>.</w:t>
      </w:r>
    </w:p>
    <w:p w14:paraId="511496E9" w14:textId="3E453872" w:rsidR="00B0749F" w:rsidRPr="00AD0324" w:rsidRDefault="00B0749F" w:rsidP="001A06E4">
      <w:pPr>
        <w:pStyle w:val="Caption"/>
        <w:keepNext/>
      </w:pPr>
      <w:r w:rsidRPr="002F501F">
        <w:rPr>
          <w:i w:val="0"/>
        </w:rPr>
        <w:t xml:space="preserve">Graph </w:t>
      </w:r>
      <w:r w:rsidR="00F3135B">
        <w:rPr>
          <w:i w:val="0"/>
        </w:rPr>
        <w:t>5</w:t>
      </w:r>
      <w:r w:rsidRPr="002F501F">
        <w:rPr>
          <w:i w:val="0"/>
        </w:rPr>
        <w:t xml:space="preserve">: </w:t>
      </w:r>
      <w:r w:rsidR="00EB1C19" w:rsidRPr="002F501F">
        <w:rPr>
          <w:i w:val="0"/>
        </w:rPr>
        <w:t>Progress toward</w:t>
      </w:r>
      <w:r w:rsidR="002F501F" w:rsidRPr="002F501F">
        <w:rPr>
          <w:i w:val="0"/>
        </w:rPr>
        <w:t>s</w:t>
      </w:r>
      <w:r w:rsidR="00EB1C19" w:rsidRPr="002F501F">
        <w:rPr>
          <w:i w:val="0"/>
        </w:rPr>
        <w:t xml:space="preserve"> n</w:t>
      </w:r>
      <w:r w:rsidRPr="002F501F">
        <w:rPr>
          <w:i w:val="0"/>
        </w:rPr>
        <w:t>et emissions target</w:t>
      </w:r>
      <w:r w:rsidR="00AA35DF" w:rsidRPr="00B0576D">
        <w:rPr>
          <w:i w:val="0"/>
        </w:rPr>
        <w:t xml:space="preserve"> of </w:t>
      </w:r>
      <w:r w:rsidR="00427637" w:rsidRPr="00427637">
        <w:rPr>
          <w:i w:val="0"/>
        </w:rPr>
        <w:t>≤</w:t>
      </w:r>
      <w:r w:rsidR="00AA35DF" w:rsidRPr="00B0576D">
        <w:rPr>
          <w:i w:val="0"/>
        </w:rPr>
        <w:t xml:space="preserve"> 100 Mt CO</w:t>
      </w:r>
      <w:r w:rsidR="00AA35DF" w:rsidRPr="00B0576D">
        <w:rPr>
          <w:i w:val="0"/>
          <w:vertAlign w:val="subscript"/>
        </w:rPr>
        <w:t>2</w:t>
      </w:r>
      <w:r w:rsidR="00AA35DF" w:rsidRPr="00B0576D">
        <w:rPr>
          <w:i w:val="0"/>
        </w:rPr>
        <w:t>-e in 2029–30</w:t>
      </w:r>
      <w:r w:rsidR="00AA35DF" w:rsidRPr="00025C66">
        <w:t xml:space="preserve"> </w:t>
      </w:r>
    </w:p>
    <w:p w14:paraId="1D1712E2" w14:textId="4CAFE31B" w:rsidR="006B0190" w:rsidRDefault="00C9479F" w:rsidP="00E02665">
      <w:pPr>
        <w:spacing w:after="0"/>
      </w:pPr>
      <w:r>
        <w:rPr>
          <w:noProof/>
        </w:rPr>
        <mc:AlternateContent>
          <mc:Choice Requires="wps">
            <w:drawing>
              <wp:anchor distT="0" distB="0" distL="114300" distR="114300" simplePos="0" relativeHeight="251658242" behindDoc="0" locked="0" layoutInCell="1" allowOverlap="1" wp14:anchorId="12A85A2E" wp14:editId="500C3410">
                <wp:simplePos x="0" y="0"/>
                <wp:positionH relativeFrom="column">
                  <wp:posOffset>1908110</wp:posOffset>
                </wp:positionH>
                <wp:positionV relativeFrom="paragraph">
                  <wp:posOffset>681925</wp:posOffset>
                </wp:positionV>
                <wp:extent cx="3775334" cy="1125894"/>
                <wp:effectExtent l="0" t="0" r="34925" b="36195"/>
                <wp:wrapNone/>
                <wp:docPr id="35424239" name="Straight Connector 9"/>
                <wp:cNvGraphicFramePr/>
                <a:graphic xmlns:a="http://schemas.openxmlformats.org/drawingml/2006/main">
                  <a:graphicData uri="http://schemas.microsoft.com/office/word/2010/wordprocessingShape">
                    <wps:wsp>
                      <wps:cNvCnPr/>
                      <wps:spPr>
                        <a:xfrm>
                          <a:off x="0" y="0"/>
                          <a:ext cx="3775334" cy="1125894"/>
                        </a:xfrm>
                        <a:prstGeom prst="line">
                          <a:avLst/>
                        </a:prstGeom>
                        <a:ln w="12700">
                          <a:prstDash val="lg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6E63E7" id="Straight Connector 9"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5pt,53.7pt" to="447.5pt,1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" strokecolor="black [3040]" strokeweight="1pt">
                <v:stroke dashstyle="longDash"/>
              </v:line>
            </w:pict>
          </mc:Fallback>
        </mc:AlternateContent>
      </w:r>
      <w:r>
        <w:rPr>
          <w:noProof/>
        </w:rPr>
        <w:drawing>
          <wp:inline distT="0" distB="0" distL="0" distR="0" wp14:anchorId="0029D278" wp14:editId="10D7E9E0">
            <wp:extent cx="6062066" cy="3776951"/>
            <wp:effectExtent l="0" t="0" r="0" b="0"/>
            <wp:docPr id="14705510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551027" name="Picture 8"/>
                    <pic:cNvPicPr>
                      <a:picLocks noChangeAspect="1" noChangeArrowheads="1"/>
                    </pic:cNvPicPr>
                  </pic:nvPicPr>
                  <pic:blipFill>
                    <a:blip r:embed="rId38">
                      <a:extLst>
                        <a:ext uri="{96DAC541-7B7A-43D3-8B79-37D633B846F1}">
                          <asvg:svgBlip xmlns:asvg="http://schemas.microsoft.com/office/drawing/2016/SVG/main" r:embed="rId39"/>
                        </a:ext>
                      </a:extLst>
                    </a:blip>
                    <a:stretch>
                      <a:fillRect/>
                    </a:stretch>
                  </pic:blipFill>
                  <pic:spPr bwMode="auto">
                    <a:xfrm>
                      <a:off x="0" y="0"/>
                      <a:ext cx="6062066" cy="3776951"/>
                    </a:xfrm>
                    <a:prstGeom prst="rect">
                      <a:avLst/>
                    </a:prstGeom>
                  </pic:spPr>
                </pic:pic>
              </a:graphicData>
            </a:graphic>
          </wp:inline>
        </w:drawing>
      </w:r>
    </w:p>
    <w:p w14:paraId="21B9C52A" w14:textId="77777777" w:rsidR="00964091" w:rsidRDefault="00964091">
      <w:pPr>
        <w:spacing w:after="0"/>
        <w:rPr>
          <w:color w:val="auto"/>
        </w:rPr>
      </w:pPr>
      <w:r>
        <w:rPr>
          <w:color w:val="auto"/>
        </w:rPr>
        <w:br w:type="page"/>
      </w:r>
    </w:p>
    <w:p w14:paraId="2390FB67" w14:textId="7723567C" w:rsidR="000B6D13" w:rsidRDefault="000B6D13" w:rsidP="00A65B0C">
      <w:pPr>
        <w:spacing w:before="240"/>
        <w:rPr>
          <w:color w:val="auto"/>
        </w:rPr>
      </w:pPr>
      <w:r w:rsidRPr="005547CB">
        <w:rPr>
          <w:color w:val="auto"/>
        </w:rPr>
        <w:lastRenderedPageBreak/>
        <w:t xml:space="preserve">Emitters </w:t>
      </w:r>
      <w:r w:rsidR="61C3783E" w:rsidRPr="658337C8">
        <w:rPr>
          <w:color w:val="auto"/>
        </w:rPr>
        <w:t>need</w:t>
      </w:r>
      <w:r w:rsidRPr="005547CB">
        <w:rPr>
          <w:color w:val="auto"/>
        </w:rPr>
        <w:t xml:space="preserve"> to sustain this good early progress by investing in available technologies and continuing to support research and develop in sectors </w:t>
      </w:r>
      <w:r w:rsidRPr="00F3135B">
        <w:rPr>
          <w:color w:val="auto"/>
        </w:rPr>
        <w:t>where</w:t>
      </w:r>
      <w:r>
        <w:rPr>
          <w:color w:val="auto"/>
        </w:rPr>
        <w:t xml:space="preserve"> these are still emerging.</w:t>
      </w:r>
    </w:p>
    <w:p w14:paraId="3E74E799" w14:textId="70DB574F" w:rsidR="00226A4A" w:rsidRPr="00E02665" w:rsidRDefault="64C6A6D2" w:rsidP="00A65B0C">
      <w:pPr>
        <w:spacing w:before="240"/>
        <w:rPr>
          <w:color w:val="auto"/>
        </w:rPr>
      </w:pPr>
      <w:r w:rsidRPr="7842D538">
        <w:rPr>
          <w:color w:val="auto"/>
        </w:rPr>
        <w:t xml:space="preserve">In addition, </w:t>
      </w:r>
      <w:r w:rsidR="00226A4A" w:rsidRPr="0056451C">
        <w:rPr>
          <w:color w:val="auto"/>
        </w:rPr>
        <w:t>responsible emitters</w:t>
      </w:r>
      <w:r w:rsidR="00226A4A" w:rsidRPr="7842D538">
        <w:rPr>
          <w:color w:val="auto"/>
        </w:rPr>
        <w:t xml:space="preserve"> </w:t>
      </w:r>
      <w:r w:rsidR="481C9275" w:rsidRPr="7842D538">
        <w:rPr>
          <w:color w:val="auto"/>
        </w:rPr>
        <w:t>should look</w:t>
      </w:r>
      <w:r w:rsidR="00226A4A" w:rsidRPr="0056451C">
        <w:rPr>
          <w:color w:val="auto"/>
        </w:rPr>
        <w:t xml:space="preserve"> to </w:t>
      </w:r>
      <w:r w:rsidR="003C2AC6" w:rsidRPr="0056451C">
        <w:rPr>
          <w:color w:val="auto"/>
        </w:rPr>
        <w:t xml:space="preserve">develop and deploy </w:t>
      </w:r>
      <w:r w:rsidR="00226A4A" w:rsidRPr="0056451C">
        <w:rPr>
          <w:color w:val="auto"/>
        </w:rPr>
        <w:t>technologies that will reduce their onsite emissions</w:t>
      </w:r>
      <w:r w:rsidR="00D37B18" w:rsidRPr="0056451C">
        <w:rPr>
          <w:color w:val="auto"/>
        </w:rPr>
        <w:t xml:space="preserve"> </w:t>
      </w:r>
      <w:r w:rsidR="00F6633C" w:rsidRPr="0056451C">
        <w:rPr>
          <w:color w:val="auto"/>
        </w:rPr>
        <w:t>over</w:t>
      </w:r>
      <w:r w:rsidR="00CB0EAA" w:rsidRPr="0056451C">
        <w:rPr>
          <w:color w:val="auto"/>
        </w:rPr>
        <w:t xml:space="preserve"> the medium and long term</w:t>
      </w:r>
      <w:r w:rsidR="00226A4A" w:rsidRPr="0056451C">
        <w:rPr>
          <w:color w:val="auto"/>
        </w:rPr>
        <w:t xml:space="preserve">. </w:t>
      </w:r>
      <w:r w:rsidR="00C458FA" w:rsidRPr="0056451C">
        <w:rPr>
          <w:color w:val="auto"/>
        </w:rPr>
        <w:t>D</w:t>
      </w:r>
      <w:r w:rsidR="00226A4A" w:rsidRPr="0056451C">
        <w:rPr>
          <w:color w:val="auto"/>
        </w:rPr>
        <w:t>oing so</w:t>
      </w:r>
      <w:r w:rsidR="00C458FA" w:rsidRPr="0056451C">
        <w:rPr>
          <w:color w:val="auto"/>
        </w:rPr>
        <w:t xml:space="preserve"> will place</w:t>
      </w:r>
      <w:r w:rsidR="00226A4A" w:rsidRPr="0056451C">
        <w:rPr>
          <w:color w:val="auto"/>
        </w:rPr>
        <w:t xml:space="preserve"> emitters in the most advantageous position for future years</w:t>
      </w:r>
      <w:r w:rsidR="007F59FB" w:rsidRPr="0056451C">
        <w:rPr>
          <w:color w:val="auto"/>
        </w:rPr>
        <w:t>.</w:t>
      </w:r>
      <w:r w:rsidR="00245478" w:rsidRPr="0056451C">
        <w:rPr>
          <w:color w:val="auto"/>
        </w:rPr>
        <w:t xml:space="preserve"> </w:t>
      </w:r>
      <w:r w:rsidR="007F59FB" w:rsidRPr="0056451C">
        <w:rPr>
          <w:color w:val="auto"/>
        </w:rPr>
        <w:t>W</w:t>
      </w:r>
      <w:r w:rsidR="00245478" w:rsidRPr="0056451C">
        <w:rPr>
          <w:color w:val="auto"/>
        </w:rPr>
        <w:t>ithout direct facility</w:t>
      </w:r>
      <w:r w:rsidR="00CF35CC" w:rsidRPr="0056451C">
        <w:rPr>
          <w:color w:val="auto"/>
        </w:rPr>
        <w:t>-</w:t>
      </w:r>
      <w:r w:rsidR="00245478" w:rsidRPr="0056451C">
        <w:rPr>
          <w:color w:val="auto"/>
        </w:rPr>
        <w:t>level emission</w:t>
      </w:r>
      <w:r w:rsidR="00CF35CC" w:rsidRPr="0056451C">
        <w:rPr>
          <w:color w:val="auto"/>
        </w:rPr>
        <w:t>s</w:t>
      </w:r>
      <w:r w:rsidR="00245478" w:rsidRPr="0056451C">
        <w:rPr>
          <w:color w:val="auto"/>
        </w:rPr>
        <w:t xml:space="preserve"> reductions,</w:t>
      </w:r>
      <w:r w:rsidR="00226A4A" w:rsidRPr="0056451C">
        <w:rPr>
          <w:color w:val="auto"/>
        </w:rPr>
        <w:t xml:space="preserve"> </w:t>
      </w:r>
      <w:r w:rsidR="003C2A72" w:rsidRPr="0056451C">
        <w:rPr>
          <w:color w:val="auto"/>
        </w:rPr>
        <w:t>declining baselines</w:t>
      </w:r>
      <w:r w:rsidR="00226A4A" w:rsidRPr="0056451C">
        <w:rPr>
          <w:color w:val="auto"/>
        </w:rPr>
        <w:t xml:space="preserve"> </w:t>
      </w:r>
      <w:r w:rsidR="00465551" w:rsidRPr="0056451C">
        <w:rPr>
          <w:color w:val="auto"/>
        </w:rPr>
        <w:t xml:space="preserve">will progressively </w:t>
      </w:r>
      <w:r w:rsidR="00FD5BFE" w:rsidRPr="0056451C">
        <w:rPr>
          <w:color w:val="auto"/>
        </w:rPr>
        <w:t xml:space="preserve">increase the </w:t>
      </w:r>
      <w:r w:rsidR="00A30BF6" w:rsidRPr="0056451C">
        <w:rPr>
          <w:color w:val="auto"/>
        </w:rPr>
        <w:t>cost</w:t>
      </w:r>
      <w:r w:rsidR="00245478" w:rsidRPr="0056451C">
        <w:rPr>
          <w:color w:val="auto"/>
        </w:rPr>
        <w:t xml:space="preserve"> </w:t>
      </w:r>
      <w:r w:rsidR="00FD5BFE" w:rsidRPr="0056451C">
        <w:rPr>
          <w:color w:val="auto"/>
        </w:rPr>
        <w:t>of</w:t>
      </w:r>
      <w:r w:rsidR="00226A4A" w:rsidRPr="0056451C">
        <w:rPr>
          <w:color w:val="auto"/>
        </w:rPr>
        <w:t xml:space="preserve"> Safeguard Mechanism compliance</w:t>
      </w:r>
      <w:r w:rsidR="005378E0" w:rsidRPr="0056451C">
        <w:rPr>
          <w:color w:val="auto"/>
        </w:rPr>
        <w:t xml:space="preserve"> through increased dependence on the ACCU and SMC </w:t>
      </w:r>
      <w:r w:rsidR="002E5B2A" w:rsidRPr="0056451C">
        <w:rPr>
          <w:color w:val="auto"/>
        </w:rPr>
        <w:t>m</w:t>
      </w:r>
      <w:r w:rsidR="005378E0" w:rsidRPr="0056451C">
        <w:rPr>
          <w:color w:val="auto"/>
        </w:rPr>
        <w:t>arket</w:t>
      </w:r>
      <w:r w:rsidR="00226A4A" w:rsidRPr="0056451C">
        <w:rPr>
          <w:color w:val="auto"/>
        </w:rPr>
        <w:t>. The CER</w:t>
      </w:r>
      <w:r w:rsidR="00226A4A" w:rsidRPr="00EB69DC">
        <w:rPr>
          <w:color w:val="auto"/>
        </w:rPr>
        <w:t xml:space="preserve"> will continue to track and analyse Safeguard entities’ plans for onsite abatement.</w:t>
      </w:r>
    </w:p>
    <w:sectPr w:rsidR="00226A4A" w:rsidRPr="00E02665" w:rsidSect="00E349EF">
      <w:headerReference w:type="even" r:id="rId40"/>
      <w:headerReference w:type="default" r:id="rId41"/>
      <w:footerReference w:type="even" r:id="rId42"/>
      <w:footerReference w:type="default" r:id="rId43"/>
      <w:headerReference w:type="first" r:id="rId44"/>
      <w:footerReference w:type="first" r:id="rId4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18545" w14:textId="77777777" w:rsidR="0015598C" w:rsidRDefault="0015598C" w:rsidP="00176C28">
      <w:r>
        <w:separator/>
      </w:r>
    </w:p>
    <w:p w14:paraId="5442764A" w14:textId="77777777" w:rsidR="0015598C" w:rsidRDefault="0015598C"/>
  </w:endnote>
  <w:endnote w:type="continuationSeparator" w:id="0">
    <w:p w14:paraId="476AB6FA" w14:textId="77777777" w:rsidR="0015598C" w:rsidRDefault="0015598C" w:rsidP="00176C28">
      <w:r>
        <w:continuationSeparator/>
      </w:r>
    </w:p>
    <w:p w14:paraId="63FA75B3" w14:textId="77777777" w:rsidR="0015598C" w:rsidRDefault="0015598C"/>
  </w:endnote>
  <w:endnote w:type="continuationNotice" w:id="1">
    <w:p w14:paraId="141A164A" w14:textId="77777777" w:rsidR="0015598C" w:rsidRDefault="0015598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7E65" w14:textId="36344768" w:rsidR="009633DE" w:rsidRDefault="005B65E7">
    <w:pPr>
      <w:pStyle w:val="Footer"/>
      <w:framePr w:wrap="none"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0EA427BE" wp14:editId="717F88D0">
              <wp:simplePos x="635" y="635"/>
              <wp:positionH relativeFrom="page">
                <wp:align>center</wp:align>
              </wp:positionH>
              <wp:positionV relativeFrom="page">
                <wp:align>bottom</wp:align>
              </wp:positionV>
              <wp:extent cx="622300" cy="376555"/>
              <wp:effectExtent l="0" t="0" r="6350" b="0"/>
              <wp:wrapNone/>
              <wp:docPr id="96022185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31CA59B" w14:textId="2D0A2285" w:rsidR="005B65E7" w:rsidRPr="005B65E7" w:rsidRDefault="005B65E7" w:rsidP="005B65E7">
                          <w:pPr>
                            <w:spacing w:after="0"/>
                            <w:rPr>
                              <w:rFonts w:ascii="Aptos" w:eastAsia="Aptos" w:hAnsi="Aptos" w:cs="Aptos"/>
                              <w:noProof/>
                              <w:color w:val="FF0000"/>
                              <w:sz w:val="24"/>
                            </w:rPr>
                          </w:pPr>
                          <w:r w:rsidRPr="005B65E7">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A427BE"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731CA59B" w14:textId="2D0A2285" w:rsidR="005B65E7" w:rsidRPr="005B65E7" w:rsidRDefault="005B65E7" w:rsidP="005B65E7">
                    <w:pPr>
                      <w:spacing w:after="0"/>
                      <w:rPr>
                        <w:rFonts w:ascii="Aptos" w:eastAsia="Aptos" w:hAnsi="Aptos" w:cs="Aptos"/>
                        <w:noProof/>
                        <w:color w:val="FF0000"/>
                        <w:sz w:val="24"/>
                      </w:rPr>
                    </w:pPr>
                    <w:r w:rsidRPr="005B65E7">
                      <w:rPr>
                        <w:rFonts w:ascii="Aptos" w:eastAsia="Aptos" w:hAnsi="Aptos" w:cs="Aptos"/>
                        <w:noProof/>
                        <w:color w:val="FF0000"/>
                        <w:sz w:val="24"/>
                      </w:rPr>
                      <w:t>OFFICIAL</w:t>
                    </w:r>
                  </w:p>
                </w:txbxContent>
              </v:textbox>
              <w10:wrap anchorx="page" anchory="page"/>
            </v:shape>
          </w:pict>
        </mc:Fallback>
      </mc:AlternateContent>
    </w:r>
  </w:p>
  <w:sdt>
    <w:sdtPr>
      <w:rPr>
        <w:rStyle w:val="PageNumber"/>
      </w:rPr>
      <w:id w:val="89826918"/>
      <w:docPartObj>
        <w:docPartGallery w:val="Page Numbers (Bottom of Page)"/>
        <w:docPartUnique/>
      </w:docPartObj>
    </w:sdtPr>
    <w:sdtContent>
      <w:p w14:paraId="6142C17B"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F6B664" w14:textId="77777777" w:rsidR="00977234" w:rsidRDefault="00977234" w:rsidP="009633DE">
    <w:pPr>
      <w:pStyle w:val="Footer"/>
      <w:ind w:right="360"/>
      <w:rPr>
        <w:rStyle w:val="PageNumber"/>
      </w:rPr>
    </w:pPr>
  </w:p>
  <w:p w14:paraId="75C00207" w14:textId="77777777" w:rsidR="00977234" w:rsidRDefault="00977234" w:rsidP="009633DE">
    <w:pPr>
      <w:pStyle w:val="Footer"/>
    </w:pPr>
  </w:p>
  <w:p w14:paraId="621AAF5E"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6DD3" w14:textId="105109C6" w:rsidR="00F76419" w:rsidRPr="00E2427A" w:rsidRDefault="002D18F3" w:rsidP="002761BC">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lang w:val="es-ES"/>
      </w:rPr>
    </w:pPr>
    <w:r w:rsidRPr="00E2427A">
      <w:rPr>
        <w:b/>
        <w:bCs/>
        <w:lang w:val="es-ES"/>
      </w:rPr>
      <w:t>W:</w:t>
    </w:r>
    <w:r w:rsidRPr="00E2427A">
      <w:rPr>
        <w:lang w:val="es-ES"/>
      </w:rPr>
      <w:t xml:space="preserve"> </w:t>
    </w:r>
    <w:r w:rsidR="006E3CA9" w:rsidRPr="00E2427A">
      <w:rPr>
        <w:lang w:val="es-ES"/>
      </w:rPr>
      <w:t>www.</w:t>
    </w:r>
    <w:r w:rsidR="00A5736E" w:rsidRPr="00E2427A">
      <w:rPr>
        <w:lang w:val="es-ES"/>
      </w:rPr>
      <w:t>cer</w:t>
    </w:r>
    <w:r w:rsidR="006E3CA9" w:rsidRPr="00E2427A">
      <w:rPr>
        <w:lang w:val="es-ES"/>
      </w:rPr>
      <w:t>.gov.au</w:t>
    </w:r>
    <w:r w:rsidR="006E3CA9" w:rsidRPr="00E2427A">
      <w:rPr>
        <w:rStyle w:val="PageNumber"/>
        <w:lang w:val="es-ES"/>
      </w:rPr>
      <w:t xml:space="preserve"> </w:t>
    </w:r>
    <w:r w:rsidR="00223676" w:rsidRPr="00E2427A">
      <w:rPr>
        <w:rStyle w:val="PageNumber"/>
        <w:lang w:val="es-ES"/>
      </w:rPr>
      <w:t xml:space="preserve">| </w:t>
    </w:r>
    <w:r w:rsidR="00223676" w:rsidRPr="00E2427A">
      <w:rPr>
        <w:rStyle w:val="PageNumber"/>
        <w:b/>
        <w:bCs/>
        <w:lang w:val="es-ES"/>
      </w:rPr>
      <w:t>T:</w:t>
    </w:r>
    <w:r w:rsidR="00223676" w:rsidRPr="00E2427A">
      <w:rPr>
        <w:rStyle w:val="PageNumber"/>
        <w:lang w:val="es-ES"/>
      </w:rPr>
      <w:t xml:space="preserve"> 1300 553 542</w:t>
    </w:r>
    <w:r w:rsidRPr="00E2427A">
      <w:rPr>
        <w:rStyle w:val="PageNumber"/>
        <w:lang w:val="es-ES"/>
      </w:rPr>
      <w:t xml:space="preserve"> | </w:t>
    </w:r>
    <w:r w:rsidRPr="00E2427A">
      <w:rPr>
        <w:rStyle w:val="PageNumber"/>
        <w:b/>
        <w:bCs/>
        <w:lang w:val="es-ES"/>
      </w:rPr>
      <w:t>E:</w:t>
    </w:r>
    <w:r w:rsidRPr="00E2427A">
      <w:rPr>
        <w:rStyle w:val="PageNumber"/>
        <w:lang w:val="es-ES"/>
      </w:rPr>
      <w:t xml:space="preserve"> enquiries@</w:t>
    </w:r>
    <w:r w:rsidR="00A5736E" w:rsidRPr="00E2427A">
      <w:rPr>
        <w:rStyle w:val="PageNumber"/>
        <w:lang w:val="es-ES"/>
      </w:rPr>
      <w:t>cer</w:t>
    </w:r>
    <w:r w:rsidRPr="00E2427A">
      <w:rPr>
        <w:rStyle w:val="PageNumber"/>
        <w:lang w:val="es-ES"/>
      </w:rPr>
      <w:t>.gov.au</w:t>
    </w:r>
    <w:r w:rsidR="006E3CA9" w:rsidRPr="00E2427A">
      <w:rPr>
        <w:rStyle w:val="PageNumber"/>
        <w:lang w:val="es-ES"/>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2427A">
          <w:rPr>
            <w:rStyle w:val="PageNumber"/>
            <w:sz w:val="20"/>
            <w:szCs w:val="20"/>
            <w:lang w:val="es-ES"/>
          </w:rPr>
          <w:instrText xml:space="preserve"> PAGE </w:instrText>
        </w:r>
        <w:r w:rsidR="006E3CA9" w:rsidRPr="00E349EF">
          <w:rPr>
            <w:rStyle w:val="PageNumber"/>
            <w:sz w:val="20"/>
            <w:szCs w:val="20"/>
          </w:rPr>
          <w:fldChar w:fldCharType="separate"/>
        </w:r>
        <w:r w:rsidR="006E3CA9" w:rsidRPr="00E2427A">
          <w:rPr>
            <w:rStyle w:val="PageNumber"/>
            <w:sz w:val="20"/>
            <w:szCs w:val="20"/>
            <w:lang w:val="es-ES"/>
          </w:rPr>
          <w:t>3</w:t>
        </w:r>
        <w:r w:rsidR="006E3CA9" w:rsidRPr="00E349EF">
          <w:rPr>
            <w:rStyle w:val="PageNumber"/>
            <w:sz w:val="20"/>
            <w:szCs w:val="20"/>
          </w:rPr>
          <w:fldChar w:fldCharType="end"/>
        </w:r>
      </w:sdtContent>
    </w:sdt>
  </w:p>
  <w:p w14:paraId="58A9FFF5" w14:textId="4F9B24A7" w:rsidR="00F76419" w:rsidRPr="000444D6" w:rsidRDefault="00F76419" w:rsidP="00E349EF">
    <w:pPr>
      <w:pStyle w:val="Footer"/>
      <w:spacing w:before="60"/>
      <w:jc w:val="center"/>
      <w:rPr>
        <w:rStyle w:val="Protectivemarker"/>
        <w:rFonts w:ascii="Aptos" w:hAnsi="Aptos"/>
        <w:b w:val="0"/>
        <w:bCs/>
        <w:color w:val="auto"/>
        <w:sz w:val="24"/>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16C39" w14:textId="59AAB671" w:rsidR="0065750A" w:rsidRPr="009C30B4" w:rsidRDefault="005B65E7" w:rsidP="00AA2792">
    <w:pPr>
      <w:tabs>
        <w:tab w:val="left" w:pos="2694"/>
        <w:tab w:val="left" w:pos="3969"/>
        <w:tab w:val="left" w:pos="6946"/>
        <w:tab w:val="right" w:pos="9498"/>
      </w:tabs>
      <w:spacing w:after="720"/>
      <w:ind w:right="242"/>
      <w:rPr>
        <w:color w:val="005874"/>
        <w:sz w:val="16"/>
        <w:szCs w:val="16"/>
      </w:rPr>
    </w:pPr>
    <w:r>
      <w:rPr>
        <w:noProof/>
      </w:rPr>
      <mc:AlternateContent>
        <mc:Choice Requires="wps">
          <w:drawing>
            <wp:anchor distT="0" distB="0" distL="0" distR="0" simplePos="0" relativeHeight="251658243" behindDoc="0" locked="0" layoutInCell="1" allowOverlap="1" wp14:anchorId="0525E6BC" wp14:editId="394BF07B">
              <wp:simplePos x="635" y="635"/>
              <wp:positionH relativeFrom="page">
                <wp:align>center</wp:align>
              </wp:positionH>
              <wp:positionV relativeFrom="page">
                <wp:align>bottom</wp:align>
              </wp:positionV>
              <wp:extent cx="622300" cy="376555"/>
              <wp:effectExtent l="0" t="0" r="6350" b="0"/>
              <wp:wrapNone/>
              <wp:docPr id="71016532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9DC4BEB" w14:textId="326A244C" w:rsidR="005B65E7" w:rsidRPr="005B65E7" w:rsidRDefault="005B65E7" w:rsidP="005B65E7">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25E6BC"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09DC4BEB" w14:textId="326A244C" w:rsidR="005B65E7" w:rsidRPr="005B65E7" w:rsidRDefault="005B65E7" w:rsidP="005B65E7">
                    <w:pPr>
                      <w:spacing w:after="0"/>
                      <w:rPr>
                        <w:rFonts w:ascii="Aptos" w:eastAsia="Aptos" w:hAnsi="Aptos" w:cs="Aptos"/>
                        <w:noProof/>
                        <w:color w:val="FF0000"/>
                        <w:sz w:val="24"/>
                      </w:rPr>
                    </w:pPr>
                  </w:p>
                </w:txbxContent>
              </v:textbox>
              <w10:wrap anchorx="page" anchory="page"/>
            </v:shape>
          </w:pict>
        </mc:Fallback>
      </mc:AlternateContent>
    </w:r>
    <w:r w:rsidR="00CA2954">
      <w:rPr>
        <w:noProof/>
      </w:rPr>
      <w:drawing>
        <wp:inline distT="0" distB="0" distL="0" distR="0" wp14:anchorId="6C6ED537" wp14:editId="0FC00A6C">
          <wp:extent cx="2131579" cy="648000"/>
          <wp:effectExtent l="0" t="0" r="0" b="0"/>
          <wp:docPr id="1947061743" name="Picture 1947061743" descr="The Clean Energy Regulator and Safeguard Mechanis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Clean Energy Regulator and Safeguard Mechanism logo"/>
                  <pic:cNvPicPr/>
                </pic:nvPicPr>
                <pic:blipFill>
                  <a:blip r:embed="rId1"/>
                  <a:stretch>
                    <a:fillRect/>
                  </a:stretch>
                </pic:blipFill>
                <pic:spPr>
                  <a:xfrm>
                    <a:off x="0" y="0"/>
                    <a:ext cx="2131579"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538C7" w14:textId="77777777" w:rsidR="0015598C" w:rsidRDefault="0015598C" w:rsidP="00176C28">
      <w:r>
        <w:separator/>
      </w:r>
    </w:p>
    <w:p w14:paraId="466FFA51" w14:textId="77777777" w:rsidR="0015598C" w:rsidRDefault="0015598C"/>
  </w:footnote>
  <w:footnote w:type="continuationSeparator" w:id="0">
    <w:p w14:paraId="282AB5E5" w14:textId="77777777" w:rsidR="0015598C" w:rsidRDefault="0015598C" w:rsidP="00176C28">
      <w:r>
        <w:continuationSeparator/>
      </w:r>
    </w:p>
    <w:p w14:paraId="0990D5B5" w14:textId="77777777" w:rsidR="0015598C" w:rsidRDefault="0015598C"/>
  </w:footnote>
  <w:footnote w:type="continuationNotice" w:id="1">
    <w:p w14:paraId="3AE083BD" w14:textId="77777777" w:rsidR="0015598C" w:rsidRDefault="0015598C">
      <w:pPr>
        <w:spacing w:after="0"/>
      </w:pPr>
    </w:p>
  </w:footnote>
  <w:footnote w:id="2">
    <w:p w14:paraId="1DC13542" w14:textId="2EDC0DD2" w:rsidR="003C4357" w:rsidRPr="005E569E" w:rsidRDefault="003C4357" w:rsidP="003C4357">
      <w:pPr>
        <w:pStyle w:val="FootnoteText"/>
      </w:pPr>
      <w:r w:rsidRPr="005E569E">
        <w:rPr>
          <w:rStyle w:val="FootnoteReference"/>
        </w:rPr>
        <w:footnoteRef/>
      </w:r>
      <w:r w:rsidRPr="005E569E">
        <w:t xml:space="preserve"> Yearly changes in the number of covered facilities reflect facilities rising and falling above and below the 100,000 tCO</w:t>
      </w:r>
      <w:r w:rsidRPr="00DD39A3">
        <w:rPr>
          <w:vertAlign w:val="subscript"/>
        </w:rPr>
        <w:t>2</w:t>
      </w:r>
      <w:r w:rsidRPr="005E569E">
        <w:t>-e Safeguard threshold. This may be due to a combination of decarbonisation efforts and changes in facilities’ operational circumstances such as openings and closures, shifts in economic conditions, world events, and changes in product demand. This figure has changed since our preliminary data publication due to NGER data quality assurance and resubmissions.</w:t>
      </w:r>
    </w:p>
  </w:footnote>
  <w:footnote w:id="3">
    <w:p w14:paraId="1824E352" w14:textId="4CFFB59B" w:rsidR="003C4357" w:rsidRPr="005E569E" w:rsidRDefault="003C4357" w:rsidP="003C4357">
      <w:pPr>
        <w:pStyle w:val="FootnoteText"/>
      </w:pPr>
      <w:r w:rsidRPr="005E569E">
        <w:rPr>
          <w:rStyle w:val="FootnoteReference"/>
        </w:rPr>
        <w:footnoteRef/>
      </w:r>
      <w:r w:rsidRPr="005E569E">
        <w:t xml:space="preserve"> The remaining approximately </w:t>
      </w:r>
      <w:r w:rsidR="00461709">
        <w:t>30</w:t>
      </w:r>
      <w:r w:rsidR="002D09F3">
        <w:t>0,000</w:t>
      </w:r>
      <w:r w:rsidRPr="005E569E">
        <w:t xml:space="preserve"> tCO</w:t>
      </w:r>
      <w:r w:rsidRPr="00DD39A3">
        <w:rPr>
          <w:vertAlign w:val="subscript"/>
        </w:rPr>
        <w:t>2</w:t>
      </w:r>
      <w:r w:rsidRPr="005E569E">
        <w:t xml:space="preserve">-e </w:t>
      </w:r>
      <w:r w:rsidR="00A57798">
        <w:t>stay</w:t>
      </w:r>
      <w:r w:rsidRPr="005E569E">
        <w:t xml:space="preserve">ed in an excess emissions situation on 1 April: see </w:t>
      </w:r>
      <w:hyperlink w:anchor="_Compliance_and_enforcement" w:history="1">
        <w:r w:rsidRPr="00A57798">
          <w:rPr>
            <w:rStyle w:val="Hyperlink"/>
            <w:rFonts w:asciiTheme="minorHAnsi" w:hAnsiTheme="minorHAnsi"/>
            <w:sz w:val="20"/>
          </w:rPr>
          <w:t>Compliance</w:t>
        </w:r>
        <w:r w:rsidR="00725A2D" w:rsidRPr="00A57798">
          <w:rPr>
            <w:rStyle w:val="Hyperlink"/>
            <w:rFonts w:asciiTheme="minorHAnsi" w:hAnsiTheme="minorHAnsi"/>
            <w:sz w:val="20"/>
          </w:rPr>
          <w:t xml:space="preserve"> and enforcement</w:t>
        </w:r>
      </w:hyperlink>
    </w:p>
  </w:footnote>
  <w:footnote w:id="4">
    <w:p w14:paraId="1C04B5FA" w14:textId="0484E2D8" w:rsidR="009C7476" w:rsidRDefault="009C7476">
      <w:pPr>
        <w:pStyle w:val="FootnoteText"/>
      </w:pPr>
      <w:r>
        <w:rPr>
          <w:rStyle w:val="FootnoteReference"/>
        </w:rPr>
        <w:footnoteRef/>
      </w:r>
      <w:r>
        <w:t xml:space="preserve"> </w:t>
      </w:r>
      <w:r w:rsidR="002264A7">
        <w:t xml:space="preserve">Total covered emissions </w:t>
      </w:r>
      <w:r w:rsidR="00642326">
        <w:t>f</w:t>
      </w:r>
      <w:r w:rsidR="00642326" w:rsidRPr="00642326">
        <w:t>rom 1 July 2020 to 30 June 2025</w:t>
      </w:r>
      <w:r w:rsidR="00642326">
        <w:t xml:space="preserve"> were</w:t>
      </w:r>
      <w:r w:rsidR="00396E98">
        <w:t xml:space="preserve"> </w:t>
      </w:r>
      <w:r w:rsidR="00396E98" w:rsidRPr="00396E98">
        <w:t>681</w:t>
      </w:r>
      <w:r w:rsidR="005767F9">
        <w:t>.</w:t>
      </w:r>
      <w:r w:rsidR="00396E98" w:rsidRPr="00396E98">
        <w:t>9</w:t>
      </w:r>
      <w:r w:rsidR="00334B01">
        <w:t xml:space="preserve"> </w:t>
      </w:r>
      <w:r w:rsidR="005767F9">
        <w:t xml:space="preserve">Mt </w:t>
      </w:r>
      <w:r w:rsidR="005767F9" w:rsidRPr="005767F9">
        <w:t>CO</w:t>
      </w:r>
      <w:r w:rsidR="005767F9" w:rsidRPr="00DD39A3">
        <w:rPr>
          <w:vertAlign w:val="subscript"/>
        </w:rPr>
        <w:t>2</w:t>
      </w:r>
      <w:r w:rsidR="005767F9" w:rsidRPr="005767F9">
        <w:t>-e</w:t>
      </w:r>
    </w:p>
  </w:footnote>
  <w:footnote w:id="5">
    <w:p w14:paraId="118F89DC" w14:textId="77777777" w:rsidR="009A0188" w:rsidRDefault="009A0188" w:rsidP="009A0188">
      <w:pPr>
        <w:pStyle w:val="FootnoteText"/>
      </w:pPr>
      <w:r>
        <w:rPr>
          <w:rStyle w:val="FootnoteReference"/>
        </w:rPr>
        <w:footnoteRef/>
      </w:r>
      <w:r>
        <w:t xml:space="preserve"> </w:t>
      </w:r>
      <w:r w:rsidRPr="00564239">
        <w:t>https://cer.gov.au/markets/reports-and-data/safeguard-data</w:t>
      </w:r>
    </w:p>
  </w:footnote>
  <w:footnote w:id="6">
    <w:p w14:paraId="5BB7A233" w14:textId="72DDE44A" w:rsidR="00074EC3" w:rsidRPr="005E569E" w:rsidRDefault="00074EC3">
      <w:pPr>
        <w:pStyle w:val="FootnoteText"/>
      </w:pPr>
      <w:r w:rsidRPr="005E569E">
        <w:rPr>
          <w:rStyle w:val="FootnoteReference"/>
        </w:rPr>
        <w:footnoteRef/>
      </w:r>
      <w:r w:rsidRPr="005E569E">
        <w:t xml:space="preserve"> A facility’s net emissions number for a financial year is its total covered emissions for that financial year, minus the number of any surrendered ACCUs or SMCs, plus any ACCUs issued during the financial year that represent abatement of the facility’s covered emissions</w:t>
      </w:r>
    </w:p>
  </w:footnote>
  <w:footnote w:id="7">
    <w:p w14:paraId="322AFA59" w14:textId="3FF5BBD3" w:rsidR="004049F0" w:rsidRPr="005E569E" w:rsidRDefault="004049F0">
      <w:pPr>
        <w:pStyle w:val="FootnoteText"/>
      </w:pPr>
      <w:r w:rsidRPr="005E569E">
        <w:rPr>
          <w:rStyle w:val="FootnoteReference"/>
        </w:rPr>
        <w:footnoteRef/>
      </w:r>
      <w:r w:rsidRPr="005E569E">
        <w:t xml:space="preserve"> https://cer.gov.au/schemes/safeguard-mechanism/managing-excess-emissions</w:t>
      </w:r>
    </w:p>
  </w:footnote>
  <w:footnote w:id="8">
    <w:p w14:paraId="30BFDDA5" w14:textId="2A380EB7" w:rsidR="002367D9" w:rsidRDefault="002367D9">
      <w:pPr>
        <w:pStyle w:val="FootnoteText"/>
      </w:pPr>
      <w:r>
        <w:rPr>
          <w:rStyle w:val="FootnoteReference"/>
        </w:rPr>
        <w:footnoteRef/>
      </w:r>
      <w:r>
        <w:t xml:space="preserve"> </w:t>
      </w:r>
      <w:r w:rsidRPr="002367D9">
        <w:t>https://cer.gov.au/about-us/our-compliance-approach/compliance-and-enforcement-priorities/compliance-and-enforcement-priorities-2025-26</w:t>
      </w:r>
    </w:p>
  </w:footnote>
  <w:footnote w:id="9">
    <w:p w14:paraId="24C94032" w14:textId="6772FF8A" w:rsidR="0037382D" w:rsidRDefault="0037382D">
      <w:pPr>
        <w:pStyle w:val="FootnoteText"/>
      </w:pPr>
      <w:r>
        <w:rPr>
          <w:rStyle w:val="FootnoteReference"/>
        </w:rPr>
        <w:footnoteRef/>
      </w:r>
      <w:r>
        <w:t xml:space="preserve"> </w:t>
      </w:r>
      <w:r w:rsidRPr="0037382D">
        <w:t>https://www.dcceew.gov.au/climate-change/emissions-reporting/national-greenhouse-energy-reporting-scheme/safeguard-mechanism/overview#_202627-review-of-the-safeguard-mechanism</w:t>
      </w:r>
    </w:p>
  </w:footnote>
  <w:footnote w:id="10">
    <w:p w14:paraId="3FC653D6" w14:textId="10601A18" w:rsidR="00405B65" w:rsidRDefault="00405B65">
      <w:pPr>
        <w:pStyle w:val="FootnoteText"/>
      </w:pPr>
      <w:r>
        <w:rPr>
          <w:rStyle w:val="FootnoteReference"/>
        </w:rPr>
        <w:footnoteRef/>
      </w:r>
      <w:r>
        <w:t xml:space="preserve"> </w:t>
      </w:r>
      <w:r w:rsidRPr="00405B65">
        <w:t>https://cer.gov.au/schemes/safeguard-mechanism/managing-excess-emissions/excess-emissions-situation-data#excess-emissions-situation-table</w:t>
      </w:r>
    </w:p>
  </w:footnote>
  <w:footnote w:id="11">
    <w:p w14:paraId="16170C65" w14:textId="77777777" w:rsidR="00133C2A" w:rsidRDefault="00133C2A" w:rsidP="00133C2A">
      <w:pPr>
        <w:pStyle w:val="FootnoteText"/>
      </w:pPr>
      <w:r>
        <w:rPr>
          <w:rStyle w:val="FootnoteReference"/>
        </w:rPr>
        <w:footnoteRef/>
      </w:r>
      <w:r>
        <w:t xml:space="preserve"> </w:t>
      </w:r>
      <w:r w:rsidRPr="002367D9">
        <w:t>https://cer.gov.au/about-us/our-compliance-approach/compliance-and-enforcement-priorities/compliance-and-enforcement-priorities-2025-26</w:t>
      </w:r>
    </w:p>
  </w:footnote>
  <w:footnote w:id="12">
    <w:p w14:paraId="43D4A3AF" w14:textId="158AE55A" w:rsidR="00A61D7A" w:rsidRDefault="00A61D7A">
      <w:pPr>
        <w:pStyle w:val="FootnoteText"/>
      </w:pPr>
      <w:r>
        <w:rPr>
          <w:rStyle w:val="FootnoteReference"/>
        </w:rPr>
        <w:footnoteRef/>
      </w:r>
      <w:r>
        <w:t xml:space="preserve"> </w:t>
      </w:r>
      <w:r w:rsidRPr="00A61D7A">
        <w:t>https://cer.gov.au/markets/reports-and-data/safeguard-data/2024-25-baselines-and-emissions-data#baselines-and-emissions-table</w:t>
      </w:r>
    </w:p>
  </w:footnote>
  <w:footnote w:id="13">
    <w:p w14:paraId="2825F787" w14:textId="4E9A6F81" w:rsidR="00A61D7A" w:rsidRDefault="00A61D7A">
      <w:pPr>
        <w:pStyle w:val="FootnoteText"/>
      </w:pPr>
      <w:r>
        <w:rPr>
          <w:rStyle w:val="FootnoteReference"/>
        </w:rPr>
        <w:footnoteRef/>
      </w:r>
      <w:r>
        <w:t xml:space="preserve"> </w:t>
      </w:r>
      <w:r w:rsidRPr="00A61D7A">
        <w:t>https://cer.gov.au/markets/reports-and-data/safeguard-data/emissions-intensity-determination-data#emissions-intensity-determinations-table</w:t>
      </w:r>
    </w:p>
  </w:footnote>
  <w:footnote w:id="14">
    <w:p w14:paraId="5900C38D" w14:textId="48018D03" w:rsidR="008710D8" w:rsidRDefault="008710D8">
      <w:pPr>
        <w:pStyle w:val="FootnoteText"/>
      </w:pPr>
      <w:r>
        <w:rPr>
          <w:rStyle w:val="FootnoteReference"/>
        </w:rPr>
        <w:footnoteRef/>
      </w:r>
      <w:r>
        <w:t xml:space="preserve"> </w:t>
      </w:r>
      <w:r w:rsidRPr="008710D8">
        <w:t>https://cer.gov.au/schemes/safeguard-mechanism/safeguard-baselines#standard-baseline</w:t>
      </w:r>
    </w:p>
  </w:footnote>
  <w:footnote w:id="15">
    <w:p w14:paraId="3211053B" w14:textId="4713A019" w:rsidR="00CF5C4F" w:rsidRPr="005E569E" w:rsidRDefault="00CF5C4F" w:rsidP="002B3BFF">
      <w:pPr>
        <w:rPr>
          <w:sz w:val="20"/>
          <w:szCs w:val="20"/>
        </w:rPr>
      </w:pPr>
      <w:r w:rsidRPr="005E569E">
        <w:rPr>
          <w:rStyle w:val="FootnoteReference"/>
          <w:sz w:val="20"/>
          <w:szCs w:val="20"/>
        </w:rPr>
        <w:footnoteRef/>
      </w:r>
      <w:r w:rsidRPr="005E569E">
        <w:rPr>
          <w:sz w:val="20"/>
          <w:szCs w:val="20"/>
        </w:rPr>
        <w:t xml:space="preserve"> A facility’s baseline is calculated each year based on the quantity of each </w:t>
      </w:r>
      <w:r w:rsidRPr="004F13EF">
        <w:rPr>
          <w:sz w:val="20"/>
          <w:szCs w:val="20"/>
        </w:rPr>
        <w:t>production variable p</w:t>
      </w:r>
      <w:r w:rsidRPr="005E569E">
        <w:rPr>
          <w:sz w:val="20"/>
          <w:szCs w:val="20"/>
        </w:rPr>
        <w:t>roduced in that year multiplied by the relevant emissions intensity value. The decline rate, which is typically 4.9%, is then applied.</w:t>
      </w:r>
      <w:r w:rsidR="00546969" w:rsidRPr="005E569E">
        <w:rPr>
          <w:sz w:val="20"/>
          <w:szCs w:val="20"/>
        </w:rPr>
        <w:t xml:space="preserve"> </w:t>
      </w:r>
      <w:r w:rsidR="002B3BFF" w:rsidRPr="005E569E">
        <w:rPr>
          <w:sz w:val="20"/>
          <w:szCs w:val="20"/>
        </w:rPr>
        <w:t>The emissions intensit</w:t>
      </w:r>
      <w:r w:rsidR="002B6944" w:rsidRPr="005E569E">
        <w:rPr>
          <w:sz w:val="20"/>
          <w:szCs w:val="20"/>
        </w:rPr>
        <w:t xml:space="preserve">y value </w:t>
      </w:r>
      <w:r w:rsidR="002B3BFF" w:rsidRPr="005E569E">
        <w:rPr>
          <w:sz w:val="20"/>
          <w:szCs w:val="20"/>
        </w:rPr>
        <w:t xml:space="preserve">used to calculate baselines for existing facilities </w:t>
      </w:r>
      <w:r w:rsidR="00E54257">
        <w:rPr>
          <w:sz w:val="20"/>
          <w:szCs w:val="20"/>
        </w:rPr>
        <w:t>is</w:t>
      </w:r>
      <w:r w:rsidR="00E54257" w:rsidRPr="005E569E">
        <w:rPr>
          <w:sz w:val="20"/>
          <w:szCs w:val="20"/>
        </w:rPr>
        <w:t xml:space="preserve"> </w:t>
      </w:r>
      <w:r w:rsidR="002B3BFF" w:rsidRPr="005E569E">
        <w:rPr>
          <w:sz w:val="20"/>
          <w:szCs w:val="20"/>
        </w:rPr>
        <w:t>set using a hybrid approach initially weighted towards the use of facility-specific emissions intensity values</w:t>
      </w:r>
      <w:r w:rsidR="00E04103">
        <w:rPr>
          <w:sz w:val="20"/>
          <w:szCs w:val="20"/>
        </w:rPr>
        <w:t xml:space="preserve"> (set by the CER under an EID based on historical production and emissions data</w:t>
      </w:r>
      <w:proofErr w:type="gramStart"/>
      <w:r w:rsidR="00E04103">
        <w:rPr>
          <w:sz w:val="20"/>
          <w:szCs w:val="20"/>
        </w:rPr>
        <w:t>)</w:t>
      </w:r>
      <w:r w:rsidR="00463AD6">
        <w:rPr>
          <w:sz w:val="20"/>
          <w:szCs w:val="20"/>
        </w:rPr>
        <w:t>,</w:t>
      </w:r>
      <w:r w:rsidR="00897AF7">
        <w:rPr>
          <w:sz w:val="20"/>
          <w:szCs w:val="20"/>
        </w:rPr>
        <w:t xml:space="preserve"> </w:t>
      </w:r>
      <w:r w:rsidR="00463AD6">
        <w:rPr>
          <w:sz w:val="20"/>
          <w:szCs w:val="20"/>
        </w:rPr>
        <w:t>and</w:t>
      </w:r>
      <w:proofErr w:type="gramEnd"/>
      <w:r w:rsidR="00463AD6">
        <w:rPr>
          <w:sz w:val="20"/>
          <w:szCs w:val="20"/>
        </w:rPr>
        <w:t xml:space="preserve"> transitioning</w:t>
      </w:r>
      <w:r w:rsidR="002B3BFF" w:rsidRPr="005E569E">
        <w:rPr>
          <w:sz w:val="20"/>
          <w:szCs w:val="20"/>
        </w:rPr>
        <w:t xml:space="preserve"> to default emissions intensity values based on industry averages by 2030. Default emissions intensity values based on industry averages provide an incentive for production to occur where it</w:t>
      </w:r>
      <w:r w:rsidR="00442E4C">
        <w:rPr>
          <w:sz w:val="20"/>
          <w:szCs w:val="20"/>
        </w:rPr>
        <w:t xml:space="preserve"> i</w:t>
      </w:r>
      <w:r w:rsidR="002B3BFF" w:rsidRPr="005E569E">
        <w:rPr>
          <w:sz w:val="20"/>
          <w:szCs w:val="20"/>
        </w:rPr>
        <w:t xml:space="preserve">s least emissions intensive. </w:t>
      </w:r>
    </w:p>
  </w:footnote>
  <w:footnote w:id="16">
    <w:p w14:paraId="7FFA1CC6" w14:textId="37508960" w:rsidR="00DF5BD0" w:rsidRDefault="00DF5BD0">
      <w:pPr>
        <w:pStyle w:val="FootnoteText"/>
      </w:pPr>
      <w:r>
        <w:rPr>
          <w:rStyle w:val="FootnoteReference"/>
        </w:rPr>
        <w:footnoteRef/>
      </w:r>
      <w:r>
        <w:t xml:space="preserve"> </w:t>
      </w:r>
      <w:r w:rsidRPr="00DF5BD0">
        <w:t>https://cer.gov.au/markets/reports-and-data/safeguard-data/2024-25-baselines-and-emissions-data#baselines-and-emissions-table</w:t>
      </w:r>
    </w:p>
  </w:footnote>
  <w:footnote w:id="17">
    <w:p w14:paraId="38052451" w14:textId="6B8C46AB" w:rsidR="00620D69" w:rsidRPr="005E569E" w:rsidRDefault="00620D69">
      <w:pPr>
        <w:pStyle w:val="FootnoteText"/>
      </w:pPr>
      <w:r w:rsidRPr="005E569E">
        <w:rPr>
          <w:rStyle w:val="FootnoteReference"/>
        </w:rPr>
        <w:footnoteRef/>
      </w:r>
      <w:r w:rsidRPr="005E569E">
        <w:t xml:space="preserve"> Other industries covered by the Safeguard Mechanism for 2024–25 included Electricity generation (ANZSIC code 261), Gas supply (270), Pipeline and other transport (502), Waste treatment, disposal and remediation services (292), Water supply, sewerage and drainage services (281).</w:t>
      </w:r>
    </w:p>
  </w:footnote>
  <w:footnote w:id="18">
    <w:p w14:paraId="2987B2C2" w14:textId="5B1CEE2D" w:rsidR="00313A37" w:rsidRDefault="00313A37">
      <w:pPr>
        <w:pStyle w:val="FootnoteText"/>
      </w:pPr>
      <w:r>
        <w:rPr>
          <w:rStyle w:val="FootnoteReference"/>
        </w:rPr>
        <w:footnoteRef/>
      </w:r>
      <w:r>
        <w:t xml:space="preserve"> </w:t>
      </w:r>
      <w:r w:rsidRPr="00313A37">
        <w:t>https://cer.gov.au/markets/reports-and-data/quarterly-carbon-market-reports</w:t>
      </w:r>
    </w:p>
  </w:footnote>
  <w:footnote w:id="19">
    <w:p w14:paraId="1CD571BB" w14:textId="0BE9CF40" w:rsidR="00DF5BD0" w:rsidRDefault="00DF5BD0">
      <w:pPr>
        <w:pStyle w:val="FootnoteText"/>
      </w:pPr>
      <w:r>
        <w:rPr>
          <w:rStyle w:val="FootnoteReference"/>
        </w:rPr>
        <w:footnoteRef/>
      </w:r>
      <w:r>
        <w:t xml:space="preserve"> </w:t>
      </w:r>
      <w:r w:rsidRPr="00DF5BD0">
        <w:t>https://cer.gov.au/markets/reports-and-data/safeguard-data/2024-25-baselines-and-emissions-data#baselines-and-emissions-table</w:t>
      </w:r>
    </w:p>
  </w:footnote>
  <w:footnote w:id="20">
    <w:p w14:paraId="2D7B5986" w14:textId="07F8ED5B" w:rsidR="00DF5BD0" w:rsidRDefault="00DF5BD0">
      <w:pPr>
        <w:pStyle w:val="FootnoteText"/>
      </w:pPr>
      <w:r>
        <w:rPr>
          <w:rStyle w:val="FootnoteReference"/>
        </w:rPr>
        <w:footnoteRef/>
      </w:r>
      <w:r>
        <w:t xml:space="preserve"> </w:t>
      </w:r>
      <w:r w:rsidRPr="00DF5BD0">
        <w:t>https://cer.gov.au/markets/reports-and-data/safeguard-data/2024-25-baselines-and-emissions-data#accu-methods-table</w:t>
      </w:r>
    </w:p>
  </w:footnote>
  <w:footnote w:id="21">
    <w:p w14:paraId="705B7FE9" w14:textId="4B7F2EA7" w:rsidR="00DF5BD0" w:rsidRDefault="00DF5BD0">
      <w:pPr>
        <w:pStyle w:val="FootnoteText"/>
      </w:pPr>
      <w:r>
        <w:rPr>
          <w:rStyle w:val="FootnoteReference"/>
        </w:rPr>
        <w:footnoteRef/>
      </w:r>
      <w:r>
        <w:t xml:space="preserve"> </w:t>
      </w:r>
      <w:r w:rsidRPr="00DF5BD0">
        <w:t>https://cer.gov.au/markets/reports-and-data/safeguard-data/2024-25-baselines-and-emissions-data#accu-surrender-statements</w:t>
      </w:r>
    </w:p>
  </w:footnote>
  <w:footnote w:id="22">
    <w:p w14:paraId="14D42C53" w14:textId="7220A253" w:rsidR="00DF5BD0" w:rsidRDefault="00DF5BD0">
      <w:pPr>
        <w:pStyle w:val="FootnoteText"/>
      </w:pPr>
      <w:r>
        <w:rPr>
          <w:rStyle w:val="FootnoteReference"/>
        </w:rPr>
        <w:footnoteRef/>
      </w:r>
      <w:r>
        <w:t xml:space="preserve"> </w:t>
      </w:r>
      <w:r w:rsidRPr="00DF5BD0">
        <w:t>https://cer.gov.au/markets/reports-and-data/safeguard-data/trade-exposed-baseline-adjusted-facility-data#safeguard-teba-table</w:t>
      </w:r>
    </w:p>
  </w:footnote>
  <w:footnote w:id="23">
    <w:p w14:paraId="4AA47D38" w14:textId="7CB3DBE8" w:rsidR="00DF5BD0" w:rsidRDefault="00DF5BD0">
      <w:pPr>
        <w:pStyle w:val="FootnoteText"/>
      </w:pPr>
      <w:r>
        <w:rPr>
          <w:rStyle w:val="FootnoteReference"/>
        </w:rPr>
        <w:footnoteRef/>
      </w:r>
      <w:r>
        <w:t xml:space="preserve"> </w:t>
      </w:r>
      <w:r w:rsidRPr="00DF5BD0">
        <w:t>https://cer.gov.au/markets/reports-and-data/safeguard-data/multi-year-monitoring-period-data#multi-year-monitoring-period-table</w:t>
      </w:r>
    </w:p>
  </w:footnote>
  <w:footnote w:id="24">
    <w:p w14:paraId="2B6037CF" w14:textId="33A35921" w:rsidR="00DF5BD0" w:rsidRDefault="00DF5BD0">
      <w:pPr>
        <w:pStyle w:val="FootnoteText"/>
      </w:pPr>
      <w:r>
        <w:rPr>
          <w:rStyle w:val="FootnoteReference"/>
        </w:rPr>
        <w:footnoteRef/>
      </w:r>
      <w:r>
        <w:t xml:space="preserve"> </w:t>
      </w:r>
      <w:r w:rsidRPr="00DF5BD0">
        <w:t>https://cer.gov.au/markets/reports-and-data/safeguard-data/multi-year-monitoring-period-data#mymp-emission-reduction-summary-plan</w:t>
      </w:r>
    </w:p>
  </w:footnote>
  <w:footnote w:id="25">
    <w:p w14:paraId="1DE3CBE6" w14:textId="1328F70D" w:rsidR="00DF5BD0" w:rsidRDefault="00DF5BD0">
      <w:pPr>
        <w:pStyle w:val="FootnoteText"/>
      </w:pPr>
      <w:r>
        <w:rPr>
          <w:rStyle w:val="FootnoteReference"/>
        </w:rPr>
        <w:footnoteRef/>
      </w:r>
      <w:r>
        <w:t xml:space="preserve"> </w:t>
      </w:r>
      <w:r w:rsidRPr="00DF5BD0">
        <w:t>https://cer.gov.au/markets/reports-and-data/safeguard-data/multi-year-monitoring-period-data#mymp-explanation-of-performance</w:t>
      </w:r>
    </w:p>
  </w:footnote>
  <w:footnote w:id="26">
    <w:p w14:paraId="2E2837DB" w14:textId="1EA13B4F" w:rsidR="00DF5BD0" w:rsidRDefault="00DF5BD0">
      <w:pPr>
        <w:pStyle w:val="FootnoteText"/>
      </w:pPr>
      <w:r>
        <w:rPr>
          <w:rStyle w:val="FootnoteReference"/>
        </w:rPr>
        <w:footnoteRef/>
      </w:r>
      <w:r>
        <w:t xml:space="preserve"> </w:t>
      </w:r>
      <w:r w:rsidRPr="00DF5BD0">
        <w:t>https://cer.gov.au/markets/reports-and-data/safeguard-data/2024-25-baselines-and-emissions-data#baselines-and-emissions-table</w:t>
      </w:r>
    </w:p>
  </w:footnote>
  <w:footnote w:id="27">
    <w:p w14:paraId="18A26D45" w14:textId="77777777" w:rsidR="005713D3" w:rsidRPr="005E569E" w:rsidRDefault="005713D3" w:rsidP="005713D3">
      <w:pPr>
        <w:pStyle w:val="FootnoteText"/>
      </w:pPr>
      <w:r w:rsidRPr="005E569E">
        <w:rPr>
          <w:rStyle w:val="FootnoteReference"/>
        </w:rPr>
        <w:footnoteRef/>
      </w:r>
      <w:r w:rsidRPr="005E569E">
        <w:t xml:space="preserve"> https://business.gov.au/grants-and-programs/powering-the-regions-fund-safeguard-transformation-stream-round-2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3A103" w14:textId="702B34DE" w:rsidR="005B65E7" w:rsidRDefault="005B65E7">
    <w:pPr>
      <w:pStyle w:val="Header"/>
    </w:pPr>
    <w:r>
      <w:rPr>
        <w:noProof/>
      </w:rPr>
      <mc:AlternateContent>
        <mc:Choice Requires="wps">
          <w:drawing>
            <wp:anchor distT="0" distB="0" distL="0" distR="0" simplePos="0" relativeHeight="251658242" behindDoc="0" locked="0" layoutInCell="1" allowOverlap="1" wp14:anchorId="449818BE" wp14:editId="1FBBDA57">
              <wp:simplePos x="635" y="635"/>
              <wp:positionH relativeFrom="page">
                <wp:align>center</wp:align>
              </wp:positionH>
              <wp:positionV relativeFrom="page">
                <wp:align>top</wp:align>
              </wp:positionV>
              <wp:extent cx="622300" cy="376555"/>
              <wp:effectExtent l="0" t="0" r="6350" b="4445"/>
              <wp:wrapNone/>
              <wp:docPr id="202565226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BA6FC44" w14:textId="40287E57" w:rsidR="005B65E7" w:rsidRPr="005B65E7" w:rsidRDefault="005B65E7" w:rsidP="005B65E7">
                          <w:pPr>
                            <w:spacing w:after="0"/>
                            <w:rPr>
                              <w:rFonts w:ascii="Aptos" w:eastAsia="Aptos" w:hAnsi="Aptos" w:cs="Aptos"/>
                              <w:noProof/>
                              <w:color w:val="FF0000"/>
                              <w:sz w:val="24"/>
                            </w:rPr>
                          </w:pPr>
                          <w:r w:rsidRPr="005B65E7">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9818BE"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BA6FC44" w14:textId="40287E57" w:rsidR="005B65E7" w:rsidRPr="005B65E7" w:rsidRDefault="005B65E7" w:rsidP="005B65E7">
                    <w:pPr>
                      <w:spacing w:after="0"/>
                      <w:rPr>
                        <w:rFonts w:ascii="Aptos" w:eastAsia="Aptos" w:hAnsi="Aptos" w:cs="Aptos"/>
                        <w:noProof/>
                        <w:color w:val="FF0000"/>
                        <w:sz w:val="24"/>
                      </w:rPr>
                    </w:pPr>
                    <w:r w:rsidRPr="005B65E7">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BCF0" w14:textId="77777777" w:rsidR="00352C63" w:rsidRDefault="00352C63" w:rsidP="00E349EF">
    <w:pPr>
      <w:pStyle w:val="LegislativesecrecyACT"/>
    </w:pPr>
  </w:p>
  <w:p w14:paraId="0899E5A2" w14:textId="24600C4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6BF56EBC" wp14:editId="41A607FA">
          <wp:simplePos x="0" y="0"/>
          <wp:positionH relativeFrom="column">
            <wp:posOffset>4706474</wp:posOffset>
          </wp:positionH>
          <wp:positionV relativeFrom="paragraph">
            <wp:posOffset>-190500</wp:posOffset>
          </wp:positionV>
          <wp:extent cx="1424451" cy="469454"/>
          <wp:effectExtent l="0" t="0" r="0" b="635"/>
          <wp:wrapNone/>
          <wp:docPr id="1152984196" name="Picture 1152984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B8464" w14:textId="471B6BE0" w:rsidR="00CA2954" w:rsidRDefault="005B65E7" w:rsidP="00E349EF">
    <w:pPr>
      <w:pStyle w:val="Header"/>
      <w:spacing w:before="600"/>
    </w:pPr>
    <w:r>
      <w:rPr>
        <w:noProof/>
      </w:rPr>
      <mc:AlternateContent>
        <mc:Choice Requires="wps">
          <w:drawing>
            <wp:anchor distT="0" distB="0" distL="0" distR="0" simplePos="0" relativeHeight="251658241" behindDoc="0" locked="0" layoutInCell="1" allowOverlap="1" wp14:anchorId="020649C5" wp14:editId="676553D0">
              <wp:simplePos x="635" y="635"/>
              <wp:positionH relativeFrom="page">
                <wp:align>center</wp:align>
              </wp:positionH>
              <wp:positionV relativeFrom="page">
                <wp:align>top</wp:align>
              </wp:positionV>
              <wp:extent cx="622300" cy="376555"/>
              <wp:effectExtent l="0" t="0" r="6350" b="4445"/>
              <wp:wrapNone/>
              <wp:docPr id="20130730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5D2DC75" w14:textId="38A52430" w:rsidR="005B65E7" w:rsidRPr="005B65E7" w:rsidRDefault="005B65E7" w:rsidP="005B65E7">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0649C5"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75D2DC75" w14:textId="38A52430" w:rsidR="005B65E7" w:rsidRPr="005B65E7" w:rsidRDefault="005B65E7" w:rsidP="005B65E7">
                    <w:pPr>
                      <w:spacing w:after="0"/>
                      <w:rPr>
                        <w:rFonts w:ascii="Aptos" w:eastAsia="Aptos" w:hAnsi="Aptos" w:cs="Aptos"/>
                        <w:noProof/>
                        <w:color w:val="FF0000"/>
                        <w:sz w:val="24"/>
                      </w:rPr>
                    </w:pPr>
                  </w:p>
                </w:txbxContent>
              </v:textbox>
              <w10:wrap anchorx="page" anchory="page"/>
            </v:shape>
          </w:pict>
        </mc:Fallback>
      </mc:AlternateContent>
    </w:r>
    <w:r w:rsidR="008352D1">
      <w:rPr>
        <w:noProof/>
      </w:rPr>
      <w:t xml:space="preserve">  </w:t>
    </w:r>
    <w:r w:rsidR="00CA2954">
      <w:rPr>
        <w:noProof/>
      </w:rPr>
      <w:drawing>
        <wp:inline distT="0" distB="0" distL="0" distR="0" wp14:anchorId="198CD66B" wp14:editId="4B0A7D1E">
          <wp:extent cx="2628000" cy="617737"/>
          <wp:effectExtent l="0" t="0" r="1270" b="5080"/>
          <wp:docPr id="1795937897" name="Picture 1795937897"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04D31"/>
    <w:multiLevelType w:val="multilevel"/>
    <w:tmpl w:val="420051A6"/>
    <w:lvl w:ilvl="0">
      <w:start w:val="1"/>
      <w:numFmt w:val="bullet"/>
      <w:lvlText w:val="»"/>
      <w:lvlJc w:val="left"/>
      <w:pPr>
        <w:ind w:left="717" w:hanging="360"/>
      </w:pPr>
      <w:rPr>
        <w:rFonts w:ascii="Arial" w:hAnsi="Arial" w:hint="default"/>
        <w:color w:val="006EA6"/>
      </w:rPr>
    </w:lvl>
    <w:lvl w:ilvl="1">
      <w:start w:val="1"/>
      <w:numFmt w:val="bullet"/>
      <w:lvlText w:val="»"/>
      <w:lvlJc w:val="left"/>
      <w:pPr>
        <w:ind w:left="1077" w:hanging="360"/>
      </w:pPr>
      <w:rPr>
        <w:rFonts w:ascii="Arial" w:hAnsi="Arial" w:hint="default"/>
        <w:color w:val="006C93" w:themeColor="accent3"/>
      </w:rPr>
    </w:lvl>
    <w:lvl w:ilvl="2">
      <w:start w:val="1"/>
      <w:numFmt w:val="bullet"/>
      <w:lvlText w:val="›"/>
      <w:lvlJc w:val="left"/>
      <w:pPr>
        <w:ind w:left="1437" w:hanging="360"/>
      </w:pPr>
      <w:rPr>
        <w:rFonts w:ascii="Arial" w:hAnsi="Arial" w:hint="default"/>
        <w:color w:val="006C93" w:themeColor="accent3"/>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 w15:restartNumberingAfterBreak="0">
    <w:nsid w:val="07D80D98"/>
    <w:multiLevelType w:val="hybridMultilevel"/>
    <w:tmpl w:val="433E2B3C"/>
    <w:lvl w:ilvl="0" w:tplc="2A3E12E0">
      <w:start w:val="1"/>
      <w:numFmt w:val="bullet"/>
      <w:lvlText w:val=""/>
      <w:lvlJc w:val="left"/>
      <w:pPr>
        <w:ind w:left="720" w:hanging="360"/>
      </w:pPr>
      <w:rPr>
        <w:rFonts w:ascii="Symbol" w:hAnsi="Symbol"/>
      </w:rPr>
    </w:lvl>
    <w:lvl w:ilvl="1" w:tplc="8F38045A">
      <w:start w:val="1"/>
      <w:numFmt w:val="bullet"/>
      <w:lvlText w:val=""/>
      <w:lvlJc w:val="left"/>
      <w:pPr>
        <w:ind w:left="720" w:hanging="360"/>
      </w:pPr>
      <w:rPr>
        <w:rFonts w:ascii="Symbol" w:hAnsi="Symbol"/>
      </w:rPr>
    </w:lvl>
    <w:lvl w:ilvl="2" w:tplc="6204C062">
      <w:start w:val="1"/>
      <w:numFmt w:val="bullet"/>
      <w:lvlText w:val=""/>
      <w:lvlJc w:val="left"/>
      <w:pPr>
        <w:ind w:left="720" w:hanging="360"/>
      </w:pPr>
      <w:rPr>
        <w:rFonts w:ascii="Symbol" w:hAnsi="Symbol"/>
      </w:rPr>
    </w:lvl>
    <w:lvl w:ilvl="3" w:tplc="2B326582">
      <w:start w:val="1"/>
      <w:numFmt w:val="bullet"/>
      <w:lvlText w:val=""/>
      <w:lvlJc w:val="left"/>
      <w:pPr>
        <w:ind w:left="720" w:hanging="360"/>
      </w:pPr>
      <w:rPr>
        <w:rFonts w:ascii="Symbol" w:hAnsi="Symbol"/>
      </w:rPr>
    </w:lvl>
    <w:lvl w:ilvl="4" w:tplc="91ECB174">
      <w:start w:val="1"/>
      <w:numFmt w:val="bullet"/>
      <w:lvlText w:val=""/>
      <w:lvlJc w:val="left"/>
      <w:pPr>
        <w:ind w:left="720" w:hanging="360"/>
      </w:pPr>
      <w:rPr>
        <w:rFonts w:ascii="Symbol" w:hAnsi="Symbol"/>
      </w:rPr>
    </w:lvl>
    <w:lvl w:ilvl="5" w:tplc="5D608D28">
      <w:start w:val="1"/>
      <w:numFmt w:val="bullet"/>
      <w:lvlText w:val=""/>
      <w:lvlJc w:val="left"/>
      <w:pPr>
        <w:ind w:left="720" w:hanging="360"/>
      </w:pPr>
      <w:rPr>
        <w:rFonts w:ascii="Symbol" w:hAnsi="Symbol"/>
      </w:rPr>
    </w:lvl>
    <w:lvl w:ilvl="6" w:tplc="BB3A1C76">
      <w:start w:val="1"/>
      <w:numFmt w:val="bullet"/>
      <w:lvlText w:val=""/>
      <w:lvlJc w:val="left"/>
      <w:pPr>
        <w:ind w:left="720" w:hanging="360"/>
      </w:pPr>
      <w:rPr>
        <w:rFonts w:ascii="Symbol" w:hAnsi="Symbol"/>
      </w:rPr>
    </w:lvl>
    <w:lvl w:ilvl="7" w:tplc="2004B240">
      <w:start w:val="1"/>
      <w:numFmt w:val="bullet"/>
      <w:lvlText w:val=""/>
      <w:lvlJc w:val="left"/>
      <w:pPr>
        <w:ind w:left="720" w:hanging="360"/>
      </w:pPr>
      <w:rPr>
        <w:rFonts w:ascii="Symbol" w:hAnsi="Symbol"/>
      </w:rPr>
    </w:lvl>
    <w:lvl w:ilvl="8" w:tplc="DE90EAB2">
      <w:start w:val="1"/>
      <w:numFmt w:val="bullet"/>
      <w:lvlText w:val=""/>
      <w:lvlJc w:val="left"/>
      <w:pPr>
        <w:ind w:left="720" w:hanging="360"/>
      </w:pPr>
      <w:rPr>
        <w:rFonts w:ascii="Symbol" w:hAnsi="Symbol"/>
      </w:rPr>
    </w:lvl>
  </w:abstractNum>
  <w:abstractNum w:abstractNumId="2" w15:restartNumberingAfterBreak="0">
    <w:nsid w:val="1252769C"/>
    <w:multiLevelType w:val="hybridMultilevel"/>
    <w:tmpl w:val="2B1E7604"/>
    <w:lvl w:ilvl="0" w:tplc="F96C344A">
      <w:start w:val="1"/>
      <w:numFmt w:val="bullet"/>
      <w:lvlText w:val=""/>
      <w:lvlJc w:val="left"/>
      <w:pPr>
        <w:ind w:left="1020" w:hanging="360"/>
      </w:pPr>
      <w:rPr>
        <w:rFonts w:ascii="Symbol" w:hAnsi="Symbol"/>
      </w:rPr>
    </w:lvl>
    <w:lvl w:ilvl="1" w:tplc="49D27BD6">
      <w:start w:val="1"/>
      <w:numFmt w:val="bullet"/>
      <w:lvlText w:val=""/>
      <w:lvlJc w:val="left"/>
      <w:pPr>
        <w:ind w:left="1020" w:hanging="360"/>
      </w:pPr>
      <w:rPr>
        <w:rFonts w:ascii="Symbol" w:hAnsi="Symbol"/>
      </w:rPr>
    </w:lvl>
    <w:lvl w:ilvl="2" w:tplc="2094354E">
      <w:start w:val="1"/>
      <w:numFmt w:val="bullet"/>
      <w:lvlText w:val=""/>
      <w:lvlJc w:val="left"/>
      <w:pPr>
        <w:ind w:left="1020" w:hanging="360"/>
      </w:pPr>
      <w:rPr>
        <w:rFonts w:ascii="Symbol" w:hAnsi="Symbol"/>
      </w:rPr>
    </w:lvl>
    <w:lvl w:ilvl="3" w:tplc="4C8CF782">
      <w:start w:val="1"/>
      <w:numFmt w:val="bullet"/>
      <w:lvlText w:val=""/>
      <w:lvlJc w:val="left"/>
      <w:pPr>
        <w:ind w:left="1020" w:hanging="360"/>
      </w:pPr>
      <w:rPr>
        <w:rFonts w:ascii="Symbol" w:hAnsi="Symbol"/>
      </w:rPr>
    </w:lvl>
    <w:lvl w:ilvl="4" w:tplc="C6B0F218">
      <w:start w:val="1"/>
      <w:numFmt w:val="bullet"/>
      <w:lvlText w:val=""/>
      <w:lvlJc w:val="left"/>
      <w:pPr>
        <w:ind w:left="1020" w:hanging="360"/>
      </w:pPr>
      <w:rPr>
        <w:rFonts w:ascii="Symbol" w:hAnsi="Symbol"/>
      </w:rPr>
    </w:lvl>
    <w:lvl w:ilvl="5" w:tplc="077EEF5C">
      <w:start w:val="1"/>
      <w:numFmt w:val="bullet"/>
      <w:lvlText w:val=""/>
      <w:lvlJc w:val="left"/>
      <w:pPr>
        <w:ind w:left="1020" w:hanging="360"/>
      </w:pPr>
      <w:rPr>
        <w:rFonts w:ascii="Symbol" w:hAnsi="Symbol"/>
      </w:rPr>
    </w:lvl>
    <w:lvl w:ilvl="6" w:tplc="1ED0668A">
      <w:start w:val="1"/>
      <w:numFmt w:val="bullet"/>
      <w:lvlText w:val=""/>
      <w:lvlJc w:val="left"/>
      <w:pPr>
        <w:ind w:left="1020" w:hanging="360"/>
      </w:pPr>
      <w:rPr>
        <w:rFonts w:ascii="Symbol" w:hAnsi="Symbol"/>
      </w:rPr>
    </w:lvl>
    <w:lvl w:ilvl="7" w:tplc="4E42B5D2">
      <w:start w:val="1"/>
      <w:numFmt w:val="bullet"/>
      <w:lvlText w:val=""/>
      <w:lvlJc w:val="left"/>
      <w:pPr>
        <w:ind w:left="1020" w:hanging="360"/>
      </w:pPr>
      <w:rPr>
        <w:rFonts w:ascii="Symbol" w:hAnsi="Symbol"/>
      </w:rPr>
    </w:lvl>
    <w:lvl w:ilvl="8" w:tplc="EF82D29E">
      <w:start w:val="1"/>
      <w:numFmt w:val="bullet"/>
      <w:lvlText w:val=""/>
      <w:lvlJc w:val="left"/>
      <w:pPr>
        <w:ind w:left="1020" w:hanging="360"/>
      </w:pPr>
      <w:rPr>
        <w:rFonts w:ascii="Symbol" w:hAnsi="Symbol"/>
      </w:rPr>
    </w:lvl>
  </w:abstractNum>
  <w:abstractNum w:abstractNumId="3" w15:restartNumberingAfterBreak="0">
    <w:nsid w:val="153B2734"/>
    <w:multiLevelType w:val="hybridMultilevel"/>
    <w:tmpl w:val="4EB4C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9520F1"/>
    <w:multiLevelType w:val="hybridMultilevel"/>
    <w:tmpl w:val="E8221386"/>
    <w:lvl w:ilvl="0" w:tplc="5EA42118">
      <w:start w:val="1"/>
      <w:numFmt w:val="bullet"/>
      <w:lvlText w:val=""/>
      <w:lvlJc w:val="left"/>
      <w:pPr>
        <w:ind w:left="720" w:hanging="360"/>
      </w:pPr>
      <w:rPr>
        <w:rFonts w:ascii="Symbol" w:hAnsi="Symbol" w:hint="default"/>
        <w:color w:val="006C93" w:themeColor="accent3"/>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766878"/>
    <w:multiLevelType w:val="hybridMultilevel"/>
    <w:tmpl w:val="0C5EDD0A"/>
    <w:lvl w:ilvl="0" w:tplc="C6344A90">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697B15"/>
    <w:multiLevelType w:val="hybridMultilevel"/>
    <w:tmpl w:val="70783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DA5BC4"/>
    <w:multiLevelType w:val="hybridMultilevel"/>
    <w:tmpl w:val="72F20E94"/>
    <w:lvl w:ilvl="0" w:tplc="5EA42118">
      <w:start w:val="1"/>
      <w:numFmt w:val="bullet"/>
      <w:lvlText w:val=""/>
      <w:lvlJc w:val="left"/>
      <w:pPr>
        <w:ind w:left="360" w:hanging="360"/>
      </w:pPr>
      <w:rPr>
        <w:rFonts w:ascii="Symbol" w:hAnsi="Symbol" w:hint="default"/>
        <w:color w:val="006C93" w:themeColor="accent3"/>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ACC135F"/>
    <w:multiLevelType w:val="hybridMultilevel"/>
    <w:tmpl w:val="B0FA0DAE"/>
    <w:lvl w:ilvl="0" w:tplc="170ED8A8">
      <w:start w:val="1"/>
      <w:numFmt w:val="bullet"/>
      <w:lvlText w:val=""/>
      <w:lvlJc w:val="left"/>
      <w:pPr>
        <w:ind w:left="1020" w:hanging="360"/>
      </w:pPr>
      <w:rPr>
        <w:rFonts w:ascii="Symbol" w:hAnsi="Symbol"/>
      </w:rPr>
    </w:lvl>
    <w:lvl w:ilvl="1" w:tplc="487294C8">
      <w:start w:val="1"/>
      <w:numFmt w:val="bullet"/>
      <w:lvlText w:val=""/>
      <w:lvlJc w:val="left"/>
      <w:pPr>
        <w:ind w:left="1020" w:hanging="360"/>
      </w:pPr>
      <w:rPr>
        <w:rFonts w:ascii="Symbol" w:hAnsi="Symbol"/>
      </w:rPr>
    </w:lvl>
    <w:lvl w:ilvl="2" w:tplc="350203D8">
      <w:start w:val="1"/>
      <w:numFmt w:val="bullet"/>
      <w:lvlText w:val=""/>
      <w:lvlJc w:val="left"/>
      <w:pPr>
        <w:ind w:left="1020" w:hanging="360"/>
      </w:pPr>
      <w:rPr>
        <w:rFonts w:ascii="Symbol" w:hAnsi="Symbol"/>
      </w:rPr>
    </w:lvl>
    <w:lvl w:ilvl="3" w:tplc="C6FE7C82">
      <w:start w:val="1"/>
      <w:numFmt w:val="bullet"/>
      <w:lvlText w:val=""/>
      <w:lvlJc w:val="left"/>
      <w:pPr>
        <w:ind w:left="1020" w:hanging="360"/>
      </w:pPr>
      <w:rPr>
        <w:rFonts w:ascii="Symbol" w:hAnsi="Symbol"/>
      </w:rPr>
    </w:lvl>
    <w:lvl w:ilvl="4" w:tplc="13608BA8">
      <w:start w:val="1"/>
      <w:numFmt w:val="bullet"/>
      <w:lvlText w:val=""/>
      <w:lvlJc w:val="left"/>
      <w:pPr>
        <w:ind w:left="1020" w:hanging="360"/>
      </w:pPr>
      <w:rPr>
        <w:rFonts w:ascii="Symbol" w:hAnsi="Symbol"/>
      </w:rPr>
    </w:lvl>
    <w:lvl w:ilvl="5" w:tplc="2DE64D44">
      <w:start w:val="1"/>
      <w:numFmt w:val="bullet"/>
      <w:lvlText w:val=""/>
      <w:lvlJc w:val="left"/>
      <w:pPr>
        <w:ind w:left="1020" w:hanging="360"/>
      </w:pPr>
      <w:rPr>
        <w:rFonts w:ascii="Symbol" w:hAnsi="Symbol"/>
      </w:rPr>
    </w:lvl>
    <w:lvl w:ilvl="6" w:tplc="9EDA82AA">
      <w:start w:val="1"/>
      <w:numFmt w:val="bullet"/>
      <w:lvlText w:val=""/>
      <w:lvlJc w:val="left"/>
      <w:pPr>
        <w:ind w:left="1020" w:hanging="360"/>
      </w:pPr>
      <w:rPr>
        <w:rFonts w:ascii="Symbol" w:hAnsi="Symbol"/>
      </w:rPr>
    </w:lvl>
    <w:lvl w:ilvl="7" w:tplc="2306EF28">
      <w:start w:val="1"/>
      <w:numFmt w:val="bullet"/>
      <w:lvlText w:val=""/>
      <w:lvlJc w:val="left"/>
      <w:pPr>
        <w:ind w:left="1020" w:hanging="360"/>
      </w:pPr>
      <w:rPr>
        <w:rFonts w:ascii="Symbol" w:hAnsi="Symbol"/>
      </w:rPr>
    </w:lvl>
    <w:lvl w:ilvl="8" w:tplc="97B43C04">
      <w:start w:val="1"/>
      <w:numFmt w:val="bullet"/>
      <w:lvlText w:val=""/>
      <w:lvlJc w:val="left"/>
      <w:pPr>
        <w:ind w:left="1020" w:hanging="360"/>
      </w:pPr>
      <w:rPr>
        <w:rFonts w:ascii="Symbol" w:hAnsi="Symbol"/>
      </w:rPr>
    </w:lvl>
  </w:abstractNum>
  <w:abstractNum w:abstractNumId="10" w15:restartNumberingAfterBreak="0">
    <w:nsid w:val="3A503BB6"/>
    <w:multiLevelType w:val="hybridMultilevel"/>
    <w:tmpl w:val="0EFA0734"/>
    <w:lvl w:ilvl="0" w:tplc="8E60A0E8">
      <w:start w:val="1"/>
      <w:numFmt w:val="bullet"/>
      <w:lvlText w:val=""/>
      <w:lvlJc w:val="left"/>
      <w:pPr>
        <w:ind w:left="1020" w:hanging="360"/>
      </w:pPr>
      <w:rPr>
        <w:rFonts w:ascii="Symbol" w:hAnsi="Symbol"/>
      </w:rPr>
    </w:lvl>
    <w:lvl w:ilvl="1" w:tplc="5D3AED1C">
      <w:start w:val="1"/>
      <w:numFmt w:val="bullet"/>
      <w:lvlText w:val=""/>
      <w:lvlJc w:val="left"/>
      <w:pPr>
        <w:ind w:left="1020" w:hanging="360"/>
      </w:pPr>
      <w:rPr>
        <w:rFonts w:ascii="Symbol" w:hAnsi="Symbol"/>
      </w:rPr>
    </w:lvl>
    <w:lvl w:ilvl="2" w:tplc="FE0248D0">
      <w:start w:val="1"/>
      <w:numFmt w:val="bullet"/>
      <w:lvlText w:val=""/>
      <w:lvlJc w:val="left"/>
      <w:pPr>
        <w:ind w:left="1020" w:hanging="360"/>
      </w:pPr>
      <w:rPr>
        <w:rFonts w:ascii="Symbol" w:hAnsi="Symbol"/>
      </w:rPr>
    </w:lvl>
    <w:lvl w:ilvl="3" w:tplc="E9004B5A">
      <w:start w:val="1"/>
      <w:numFmt w:val="bullet"/>
      <w:lvlText w:val=""/>
      <w:lvlJc w:val="left"/>
      <w:pPr>
        <w:ind w:left="1020" w:hanging="360"/>
      </w:pPr>
      <w:rPr>
        <w:rFonts w:ascii="Symbol" w:hAnsi="Symbol"/>
      </w:rPr>
    </w:lvl>
    <w:lvl w:ilvl="4" w:tplc="1972ACDC">
      <w:start w:val="1"/>
      <w:numFmt w:val="bullet"/>
      <w:lvlText w:val=""/>
      <w:lvlJc w:val="left"/>
      <w:pPr>
        <w:ind w:left="1020" w:hanging="360"/>
      </w:pPr>
      <w:rPr>
        <w:rFonts w:ascii="Symbol" w:hAnsi="Symbol"/>
      </w:rPr>
    </w:lvl>
    <w:lvl w:ilvl="5" w:tplc="F45E6E00">
      <w:start w:val="1"/>
      <w:numFmt w:val="bullet"/>
      <w:lvlText w:val=""/>
      <w:lvlJc w:val="left"/>
      <w:pPr>
        <w:ind w:left="1020" w:hanging="360"/>
      </w:pPr>
      <w:rPr>
        <w:rFonts w:ascii="Symbol" w:hAnsi="Symbol"/>
      </w:rPr>
    </w:lvl>
    <w:lvl w:ilvl="6" w:tplc="4F96B598">
      <w:start w:val="1"/>
      <w:numFmt w:val="bullet"/>
      <w:lvlText w:val=""/>
      <w:lvlJc w:val="left"/>
      <w:pPr>
        <w:ind w:left="1020" w:hanging="360"/>
      </w:pPr>
      <w:rPr>
        <w:rFonts w:ascii="Symbol" w:hAnsi="Symbol"/>
      </w:rPr>
    </w:lvl>
    <w:lvl w:ilvl="7" w:tplc="21DA2754">
      <w:start w:val="1"/>
      <w:numFmt w:val="bullet"/>
      <w:lvlText w:val=""/>
      <w:lvlJc w:val="left"/>
      <w:pPr>
        <w:ind w:left="1020" w:hanging="360"/>
      </w:pPr>
      <w:rPr>
        <w:rFonts w:ascii="Symbol" w:hAnsi="Symbol"/>
      </w:rPr>
    </w:lvl>
    <w:lvl w:ilvl="8" w:tplc="2104EF40">
      <w:start w:val="1"/>
      <w:numFmt w:val="bullet"/>
      <w:lvlText w:val=""/>
      <w:lvlJc w:val="left"/>
      <w:pPr>
        <w:ind w:left="1020" w:hanging="360"/>
      </w:pPr>
      <w:rPr>
        <w:rFonts w:ascii="Symbol" w:hAnsi="Symbol"/>
      </w:rPr>
    </w:lvl>
  </w:abstractNum>
  <w:abstractNum w:abstractNumId="11" w15:restartNumberingAfterBreak="0">
    <w:nsid w:val="3BFA202B"/>
    <w:multiLevelType w:val="hybridMultilevel"/>
    <w:tmpl w:val="81089FCE"/>
    <w:lvl w:ilvl="0" w:tplc="14486DB2">
      <w:start w:val="1"/>
      <w:numFmt w:val="bullet"/>
      <w:lvlText w:val=""/>
      <w:lvlJc w:val="left"/>
      <w:pPr>
        <w:ind w:left="720" w:hanging="360"/>
      </w:pPr>
      <w:rPr>
        <w:rFonts w:ascii="Symbol" w:hAnsi="Symbol"/>
      </w:rPr>
    </w:lvl>
    <w:lvl w:ilvl="1" w:tplc="CF98B0A6">
      <w:start w:val="1"/>
      <w:numFmt w:val="bullet"/>
      <w:lvlText w:val=""/>
      <w:lvlJc w:val="left"/>
      <w:pPr>
        <w:ind w:left="720" w:hanging="360"/>
      </w:pPr>
      <w:rPr>
        <w:rFonts w:ascii="Symbol" w:hAnsi="Symbol"/>
      </w:rPr>
    </w:lvl>
    <w:lvl w:ilvl="2" w:tplc="7D06DB3A">
      <w:start w:val="1"/>
      <w:numFmt w:val="bullet"/>
      <w:lvlText w:val=""/>
      <w:lvlJc w:val="left"/>
      <w:pPr>
        <w:ind w:left="720" w:hanging="360"/>
      </w:pPr>
      <w:rPr>
        <w:rFonts w:ascii="Symbol" w:hAnsi="Symbol"/>
      </w:rPr>
    </w:lvl>
    <w:lvl w:ilvl="3" w:tplc="E0FE25C0">
      <w:start w:val="1"/>
      <w:numFmt w:val="bullet"/>
      <w:lvlText w:val=""/>
      <w:lvlJc w:val="left"/>
      <w:pPr>
        <w:ind w:left="720" w:hanging="360"/>
      </w:pPr>
      <w:rPr>
        <w:rFonts w:ascii="Symbol" w:hAnsi="Symbol"/>
      </w:rPr>
    </w:lvl>
    <w:lvl w:ilvl="4" w:tplc="906E49CC">
      <w:start w:val="1"/>
      <w:numFmt w:val="bullet"/>
      <w:lvlText w:val=""/>
      <w:lvlJc w:val="left"/>
      <w:pPr>
        <w:ind w:left="720" w:hanging="360"/>
      </w:pPr>
      <w:rPr>
        <w:rFonts w:ascii="Symbol" w:hAnsi="Symbol"/>
      </w:rPr>
    </w:lvl>
    <w:lvl w:ilvl="5" w:tplc="9F040A1E">
      <w:start w:val="1"/>
      <w:numFmt w:val="bullet"/>
      <w:lvlText w:val=""/>
      <w:lvlJc w:val="left"/>
      <w:pPr>
        <w:ind w:left="720" w:hanging="360"/>
      </w:pPr>
      <w:rPr>
        <w:rFonts w:ascii="Symbol" w:hAnsi="Symbol"/>
      </w:rPr>
    </w:lvl>
    <w:lvl w:ilvl="6" w:tplc="A5BA46B0">
      <w:start w:val="1"/>
      <w:numFmt w:val="bullet"/>
      <w:lvlText w:val=""/>
      <w:lvlJc w:val="left"/>
      <w:pPr>
        <w:ind w:left="720" w:hanging="360"/>
      </w:pPr>
      <w:rPr>
        <w:rFonts w:ascii="Symbol" w:hAnsi="Symbol"/>
      </w:rPr>
    </w:lvl>
    <w:lvl w:ilvl="7" w:tplc="55F85B36">
      <w:start w:val="1"/>
      <w:numFmt w:val="bullet"/>
      <w:lvlText w:val=""/>
      <w:lvlJc w:val="left"/>
      <w:pPr>
        <w:ind w:left="720" w:hanging="360"/>
      </w:pPr>
      <w:rPr>
        <w:rFonts w:ascii="Symbol" w:hAnsi="Symbol"/>
      </w:rPr>
    </w:lvl>
    <w:lvl w:ilvl="8" w:tplc="AA8EACCE">
      <w:start w:val="1"/>
      <w:numFmt w:val="bullet"/>
      <w:lvlText w:val=""/>
      <w:lvlJc w:val="left"/>
      <w:pPr>
        <w:ind w:left="720" w:hanging="360"/>
      </w:pPr>
      <w:rPr>
        <w:rFonts w:ascii="Symbol" w:hAnsi="Symbol"/>
      </w:rPr>
    </w:lvl>
  </w:abstractNum>
  <w:abstractNum w:abstractNumId="12" w15:restartNumberingAfterBreak="0">
    <w:nsid w:val="3DC4382E"/>
    <w:multiLevelType w:val="multilevel"/>
    <w:tmpl w:val="176A8460"/>
    <w:lvl w:ilvl="0">
      <w:start w:val="1"/>
      <w:numFmt w:val="bullet"/>
      <w:lvlText w:val="»"/>
      <w:lvlJc w:val="left"/>
      <w:pPr>
        <w:ind w:left="717" w:hanging="360"/>
      </w:pPr>
      <w:rPr>
        <w:rFonts w:ascii="Arial" w:hAnsi="Arial" w:hint="default"/>
        <w:color w:val="006EA6"/>
      </w:rPr>
    </w:lvl>
    <w:lvl w:ilvl="1">
      <w:start w:val="1"/>
      <w:numFmt w:val="bullet"/>
      <w:lvlText w:val="»"/>
      <w:lvlJc w:val="left"/>
      <w:pPr>
        <w:ind w:left="1077" w:hanging="360"/>
      </w:pPr>
      <w:rPr>
        <w:rFonts w:ascii="Arial" w:hAnsi="Arial" w:hint="default"/>
        <w:color w:val="006C93" w:themeColor="accent3"/>
      </w:rPr>
    </w:lvl>
    <w:lvl w:ilvl="2">
      <w:start w:val="1"/>
      <w:numFmt w:val="bullet"/>
      <w:lvlText w:val="›"/>
      <w:lvlJc w:val="left"/>
      <w:pPr>
        <w:ind w:left="1437" w:hanging="360"/>
      </w:pPr>
      <w:rPr>
        <w:rFonts w:ascii="Arial" w:hAnsi="Arial" w:hint="default"/>
        <w:color w:val="006C93" w:themeColor="accent3"/>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3" w15:restartNumberingAfterBreak="0">
    <w:nsid w:val="3E162125"/>
    <w:multiLevelType w:val="hybridMultilevel"/>
    <w:tmpl w:val="5FFA7A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2FB5D9E"/>
    <w:multiLevelType w:val="multilevel"/>
    <w:tmpl w:val="612C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BD7E8C"/>
    <w:multiLevelType w:val="hybridMultilevel"/>
    <w:tmpl w:val="270A38E6"/>
    <w:lvl w:ilvl="0" w:tplc="347E1E8E">
      <w:start w:val="1"/>
      <w:numFmt w:val="bullet"/>
      <w:lvlText w:val=""/>
      <w:lvlJc w:val="left"/>
      <w:pPr>
        <w:ind w:left="1020" w:hanging="360"/>
      </w:pPr>
      <w:rPr>
        <w:rFonts w:ascii="Symbol" w:hAnsi="Symbol"/>
      </w:rPr>
    </w:lvl>
    <w:lvl w:ilvl="1" w:tplc="A61AB08C">
      <w:start w:val="1"/>
      <w:numFmt w:val="bullet"/>
      <w:lvlText w:val=""/>
      <w:lvlJc w:val="left"/>
      <w:pPr>
        <w:ind w:left="1020" w:hanging="360"/>
      </w:pPr>
      <w:rPr>
        <w:rFonts w:ascii="Symbol" w:hAnsi="Symbol"/>
      </w:rPr>
    </w:lvl>
    <w:lvl w:ilvl="2" w:tplc="90885B28">
      <w:start w:val="1"/>
      <w:numFmt w:val="bullet"/>
      <w:lvlText w:val=""/>
      <w:lvlJc w:val="left"/>
      <w:pPr>
        <w:ind w:left="1020" w:hanging="360"/>
      </w:pPr>
      <w:rPr>
        <w:rFonts w:ascii="Symbol" w:hAnsi="Symbol"/>
      </w:rPr>
    </w:lvl>
    <w:lvl w:ilvl="3" w:tplc="8C4A7B0C">
      <w:start w:val="1"/>
      <w:numFmt w:val="bullet"/>
      <w:lvlText w:val=""/>
      <w:lvlJc w:val="left"/>
      <w:pPr>
        <w:ind w:left="1020" w:hanging="360"/>
      </w:pPr>
      <w:rPr>
        <w:rFonts w:ascii="Symbol" w:hAnsi="Symbol"/>
      </w:rPr>
    </w:lvl>
    <w:lvl w:ilvl="4" w:tplc="E2323A90">
      <w:start w:val="1"/>
      <w:numFmt w:val="bullet"/>
      <w:lvlText w:val=""/>
      <w:lvlJc w:val="left"/>
      <w:pPr>
        <w:ind w:left="1020" w:hanging="360"/>
      </w:pPr>
      <w:rPr>
        <w:rFonts w:ascii="Symbol" w:hAnsi="Symbol"/>
      </w:rPr>
    </w:lvl>
    <w:lvl w:ilvl="5" w:tplc="193C9572">
      <w:start w:val="1"/>
      <w:numFmt w:val="bullet"/>
      <w:lvlText w:val=""/>
      <w:lvlJc w:val="left"/>
      <w:pPr>
        <w:ind w:left="1020" w:hanging="360"/>
      </w:pPr>
      <w:rPr>
        <w:rFonts w:ascii="Symbol" w:hAnsi="Symbol"/>
      </w:rPr>
    </w:lvl>
    <w:lvl w:ilvl="6" w:tplc="BA8E6A38">
      <w:start w:val="1"/>
      <w:numFmt w:val="bullet"/>
      <w:lvlText w:val=""/>
      <w:lvlJc w:val="left"/>
      <w:pPr>
        <w:ind w:left="1020" w:hanging="360"/>
      </w:pPr>
      <w:rPr>
        <w:rFonts w:ascii="Symbol" w:hAnsi="Symbol"/>
      </w:rPr>
    </w:lvl>
    <w:lvl w:ilvl="7" w:tplc="84B46188">
      <w:start w:val="1"/>
      <w:numFmt w:val="bullet"/>
      <w:lvlText w:val=""/>
      <w:lvlJc w:val="left"/>
      <w:pPr>
        <w:ind w:left="1020" w:hanging="360"/>
      </w:pPr>
      <w:rPr>
        <w:rFonts w:ascii="Symbol" w:hAnsi="Symbol"/>
      </w:rPr>
    </w:lvl>
    <w:lvl w:ilvl="8" w:tplc="38FC6C66">
      <w:start w:val="1"/>
      <w:numFmt w:val="bullet"/>
      <w:lvlText w:val=""/>
      <w:lvlJc w:val="left"/>
      <w:pPr>
        <w:ind w:left="1020" w:hanging="360"/>
      </w:pPr>
      <w:rPr>
        <w:rFonts w:ascii="Symbol" w:hAnsi="Symbol"/>
      </w:rPr>
    </w:lvl>
  </w:abstractNum>
  <w:abstractNum w:abstractNumId="17" w15:restartNumberingAfterBreak="0">
    <w:nsid w:val="49395619"/>
    <w:multiLevelType w:val="hybridMultilevel"/>
    <w:tmpl w:val="72989D3A"/>
    <w:lvl w:ilvl="0" w:tplc="2F74FD72">
      <w:start w:val="1"/>
      <w:numFmt w:val="bullet"/>
      <w:lvlText w:val=""/>
      <w:lvlJc w:val="left"/>
      <w:pPr>
        <w:ind w:left="1020" w:hanging="360"/>
      </w:pPr>
      <w:rPr>
        <w:rFonts w:ascii="Symbol" w:hAnsi="Symbol"/>
      </w:rPr>
    </w:lvl>
    <w:lvl w:ilvl="1" w:tplc="871A6664">
      <w:start w:val="1"/>
      <w:numFmt w:val="bullet"/>
      <w:lvlText w:val=""/>
      <w:lvlJc w:val="left"/>
      <w:pPr>
        <w:ind w:left="1020" w:hanging="360"/>
      </w:pPr>
      <w:rPr>
        <w:rFonts w:ascii="Symbol" w:hAnsi="Symbol"/>
      </w:rPr>
    </w:lvl>
    <w:lvl w:ilvl="2" w:tplc="A498E004">
      <w:start w:val="1"/>
      <w:numFmt w:val="bullet"/>
      <w:lvlText w:val=""/>
      <w:lvlJc w:val="left"/>
      <w:pPr>
        <w:ind w:left="1020" w:hanging="360"/>
      </w:pPr>
      <w:rPr>
        <w:rFonts w:ascii="Symbol" w:hAnsi="Symbol"/>
      </w:rPr>
    </w:lvl>
    <w:lvl w:ilvl="3" w:tplc="7ADA90BE">
      <w:start w:val="1"/>
      <w:numFmt w:val="bullet"/>
      <w:lvlText w:val=""/>
      <w:lvlJc w:val="left"/>
      <w:pPr>
        <w:ind w:left="1020" w:hanging="360"/>
      </w:pPr>
      <w:rPr>
        <w:rFonts w:ascii="Symbol" w:hAnsi="Symbol"/>
      </w:rPr>
    </w:lvl>
    <w:lvl w:ilvl="4" w:tplc="5E7897FC">
      <w:start w:val="1"/>
      <w:numFmt w:val="bullet"/>
      <w:lvlText w:val=""/>
      <w:lvlJc w:val="left"/>
      <w:pPr>
        <w:ind w:left="1020" w:hanging="360"/>
      </w:pPr>
      <w:rPr>
        <w:rFonts w:ascii="Symbol" w:hAnsi="Symbol"/>
      </w:rPr>
    </w:lvl>
    <w:lvl w:ilvl="5" w:tplc="0DC829E6">
      <w:start w:val="1"/>
      <w:numFmt w:val="bullet"/>
      <w:lvlText w:val=""/>
      <w:lvlJc w:val="left"/>
      <w:pPr>
        <w:ind w:left="1020" w:hanging="360"/>
      </w:pPr>
      <w:rPr>
        <w:rFonts w:ascii="Symbol" w:hAnsi="Symbol"/>
      </w:rPr>
    </w:lvl>
    <w:lvl w:ilvl="6" w:tplc="A96063A6">
      <w:start w:val="1"/>
      <w:numFmt w:val="bullet"/>
      <w:lvlText w:val=""/>
      <w:lvlJc w:val="left"/>
      <w:pPr>
        <w:ind w:left="1020" w:hanging="360"/>
      </w:pPr>
      <w:rPr>
        <w:rFonts w:ascii="Symbol" w:hAnsi="Symbol"/>
      </w:rPr>
    </w:lvl>
    <w:lvl w:ilvl="7" w:tplc="6DC8F526">
      <w:start w:val="1"/>
      <w:numFmt w:val="bullet"/>
      <w:lvlText w:val=""/>
      <w:lvlJc w:val="left"/>
      <w:pPr>
        <w:ind w:left="1020" w:hanging="360"/>
      </w:pPr>
      <w:rPr>
        <w:rFonts w:ascii="Symbol" w:hAnsi="Symbol"/>
      </w:rPr>
    </w:lvl>
    <w:lvl w:ilvl="8" w:tplc="62C46FA6">
      <w:start w:val="1"/>
      <w:numFmt w:val="bullet"/>
      <w:lvlText w:val=""/>
      <w:lvlJc w:val="left"/>
      <w:pPr>
        <w:ind w:left="1020" w:hanging="360"/>
      </w:pPr>
      <w:rPr>
        <w:rFonts w:ascii="Symbol" w:hAnsi="Symbol"/>
      </w:rPr>
    </w:lvl>
  </w:abstractNum>
  <w:abstractNum w:abstractNumId="18" w15:restartNumberingAfterBreak="0">
    <w:nsid w:val="4A4D1D90"/>
    <w:multiLevelType w:val="hybridMultilevel"/>
    <w:tmpl w:val="A1FCA7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70D666A"/>
    <w:multiLevelType w:val="hybridMultilevel"/>
    <w:tmpl w:val="65389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4E0EAB"/>
    <w:multiLevelType w:val="hybridMultilevel"/>
    <w:tmpl w:val="DDE2E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814D11"/>
    <w:multiLevelType w:val="hybridMultilevel"/>
    <w:tmpl w:val="BA94593C"/>
    <w:lvl w:ilvl="0" w:tplc="C1F21538">
      <w:start w:val="1"/>
      <w:numFmt w:val="bullet"/>
      <w:lvlText w:val=""/>
      <w:lvlJc w:val="left"/>
      <w:pPr>
        <w:ind w:left="1020" w:hanging="360"/>
      </w:pPr>
      <w:rPr>
        <w:rFonts w:ascii="Symbol" w:hAnsi="Symbol"/>
      </w:rPr>
    </w:lvl>
    <w:lvl w:ilvl="1" w:tplc="5C8274D6">
      <w:start w:val="1"/>
      <w:numFmt w:val="bullet"/>
      <w:lvlText w:val=""/>
      <w:lvlJc w:val="left"/>
      <w:pPr>
        <w:ind w:left="1020" w:hanging="360"/>
      </w:pPr>
      <w:rPr>
        <w:rFonts w:ascii="Symbol" w:hAnsi="Symbol"/>
      </w:rPr>
    </w:lvl>
    <w:lvl w:ilvl="2" w:tplc="AD9823D2">
      <w:start w:val="1"/>
      <w:numFmt w:val="bullet"/>
      <w:lvlText w:val=""/>
      <w:lvlJc w:val="left"/>
      <w:pPr>
        <w:ind w:left="1020" w:hanging="360"/>
      </w:pPr>
      <w:rPr>
        <w:rFonts w:ascii="Symbol" w:hAnsi="Symbol"/>
      </w:rPr>
    </w:lvl>
    <w:lvl w:ilvl="3" w:tplc="79F05DE6">
      <w:start w:val="1"/>
      <w:numFmt w:val="bullet"/>
      <w:lvlText w:val=""/>
      <w:lvlJc w:val="left"/>
      <w:pPr>
        <w:ind w:left="1020" w:hanging="360"/>
      </w:pPr>
      <w:rPr>
        <w:rFonts w:ascii="Symbol" w:hAnsi="Symbol"/>
      </w:rPr>
    </w:lvl>
    <w:lvl w:ilvl="4" w:tplc="C59A60BA">
      <w:start w:val="1"/>
      <w:numFmt w:val="bullet"/>
      <w:lvlText w:val=""/>
      <w:lvlJc w:val="left"/>
      <w:pPr>
        <w:ind w:left="1020" w:hanging="360"/>
      </w:pPr>
      <w:rPr>
        <w:rFonts w:ascii="Symbol" w:hAnsi="Symbol"/>
      </w:rPr>
    </w:lvl>
    <w:lvl w:ilvl="5" w:tplc="593E1824">
      <w:start w:val="1"/>
      <w:numFmt w:val="bullet"/>
      <w:lvlText w:val=""/>
      <w:lvlJc w:val="left"/>
      <w:pPr>
        <w:ind w:left="1020" w:hanging="360"/>
      </w:pPr>
      <w:rPr>
        <w:rFonts w:ascii="Symbol" w:hAnsi="Symbol"/>
      </w:rPr>
    </w:lvl>
    <w:lvl w:ilvl="6" w:tplc="9A9E05F6">
      <w:start w:val="1"/>
      <w:numFmt w:val="bullet"/>
      <w:lvlText w:val=""/>
      <w:lvlJc w:val="left"/>
      <w:pPr>
        <w:ind w:left="1020" w:hanging="360"/>
      </w:pPr>
      <w:rPr>
        <w:rFonts w:ascii="Symbol" w:hAnsi="Symbol"/>
      </w:rPr>
    </w:lvl>
    <w:lvl w:ilvl="7" w:tplc="02E42108">
      <w:start w:val="1"/>
      <w:numFmt w:val="bullet"/>
      <w:lvlText w:val=""/>
      <w:lvlJc w:val="left"/>
      <w:pPr>
        <w:ind w:left="1020" w:hanging="360"/>
      </w:pPr>
      <w:rPr>
        <w:rFonts w:ascii="Symbol" w:hAnsi="Symbol"/>
      </w:rPr>
    </w:lvl>
    <w:lvl w:ilvl="8" w:tplc="921A6F12">
      <w:start w:val="1"/>
      <w:numFmt w:val="bullet"/>
      <w:lvlText w:val=""/>
      <w:lvlJc w:val="left"/>
      <w:pPr>
        <w:ind w:left="1020" w:hanging="360"/>
      </w:pPr>
      <w:rPr>
        <w:rFonts w:ascii="Symbol" w:hAnsi="Symbol"/>
      </w:rPr>
    </w:lvl>
  </w:abstractNum>
  <w:abstractNum w:abstractNumId="23" w15:restartNumberingAfterBreak="0">
    <w:nsid w:val="6BA85D06"/>
    <w:multiLevelType w:val="hybridMultilevel"/>
    <w:tmpl w:val="EEC24002"/>
    <w:lvl w:ilvl="0" w:tplc="1ADA622C">
      <w:start w:val="1"/>
      <w:numFmt w:val="decimal"/>
      <w:lvlText w:val="%1."/>
      <w:lvlJc w:val="left"/>
      <w:pPr>
        <w:ind w:left="1020" w:hanging="360"/>
      </w:pPr>
    </w:lvl>
    <w:lvl w:ilvl="1" w:tplc="8D988AA0">
      <w:start w:val="1"/>
      <w:numFmt w:val="decimal"/>
      <w:lvlText w:val="%2."/>
      <w:lvlJc w:val="left"/>
      <w:pPr>
        <w:ind w:left="1020" w:hanging="360"/>
      </w:pPr>
    </w:lvl>
    <w:lvl w:ilvl="2" w:tplc="9C168350">
      <w:start w:val="1"/>
      <w:numFmt w:val="decimal"/>
      <w:lvlText w:val="%3."/>
      <w:lvlJc w:val="left"/>
      <w:pPr>
        <w:ind w:left="1020" w:hanging="360"/>
      </w:pPr>
    </w:lvl>
    <w:lvl w:ilvl="3" w:tplc="FAF40A8A">
      <w:start w:val="1"/>
      <w:numFmt w:val="decimal"/>
      <w:lvlText w:val="%4."/>
      <w:lvlJc w:val="left"/>
      <w:pPr>
        <w:ind w:left="1020" w:hanging="360"/>
      </w:pPr>
    </w:lvl>
    <w:lvl w:ilvl="4" w:tplc="A9B03BAC">
      <w:start w:val="1"/>
      <w:numFmt w:val="decimal"/>
      <w:lvlText w:val="%5."/>
      <w:lvlJc w:val="left"/>
      <w:pPr>
        <w:ind w:left="1020" w:hanging="360"/>
      </w:pPr>
    </w:lvl>
    <w:lvl w:ilvl="5" w:tplc="990268E6">
      <w:start w:val="1"/>
      <w:numFmt w:val="decimal"/>
      <w:lvlText w:val="%6."/>
      <w:lvlJc w:val="left"/>
      <w:pPr>
        <w:ind w:left="1020" w:hanging="360"/>
      </w:pPr>
    </w:lvl>
    <w:lvl w:ilvl="6" w:tplc="A3DCC85E">
      <w:start w:val="1"/>
      <w:numFmt w:val="decimal"/>
      <w:lvlText w:val="%7."/>
      <w:lvlJc w:val="left"/>
      <w:pPr>
        <w:ind w:left="1020" w:hanging="360"/>
      </w:pPr>
    </w:lvl>
    <w:lvl w:ilvl="7" w:tplc="5B2E5CE6">
      <w:start w:val="1"/>
      <w:numFmt w:val="decimal"/>
      <w:lvlText w:val="%8."/>
      <w:lvlJc w:val="left"/>
      <w:pPr>
        <w:ind w:left="1020" w:hanging="360"/>
      </w:pPr>
    </w:lvl>
    <w:lvl w:ilvl="8" w:tplc="514C4FCE">
      <w:start w:val="1"/>
      <w:numFmt w:val="decimal"/>
      <w:lvlText w:val="%9."/>
      <w:lvlJc w:val="left"/>
      <w:pPr>
        <w:ind w:left="1020" w:hanging="360"/>
      </w:pPr>
    </w:lvl>
  </w:abstractNum>
  <w:abstractNum w:abstractNumId="24" w15:restartNumberingAfterBreak="0">
    <w:nsid w:val="79DB23C0"/>
    <w:multiLevelType w:val="multilevel"/>
    <w:tmpl w:val="11A43BFC"/>
    <w:lvl w:ilvl="0">
      <w:start w:val="1"/>
      <w:numFmt w:val="bullet"/>
      <w:pStyle w:val="CERbullets"/>
      <w:lvlText w:val=""/>
      <w:lvlJc w:val="left"/>
      <w:pPr>
        <w:ind w:left="643" w:hanging="360"/>
      </w:pPr>
      <w:rPr>
        <w:rFonts w:ascii="Symbol" w:hAnsi="Symbol" w:hint="default"/>
        <w:color w:val="006C93" w:themeColor="accent3"/>
      </w:rPr>
    </w:lvl>
    <w:lvl w:ilvl="1">
      <w:start w:val="1"/>
      <w:numFmt w:val="bullet"/>
      <w:lvlText w:val="»"/>
      <w:lvlJc w:val="left"/>
      <w:pPr>
        <w:ind w:left="121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64278856">
    <w:abstractNumId w:val="24"/>
  </w:num>
  <w:num w:numId="2" w16cid:durableId="1824008234">
    <w:abstractNumId w:val="19"/>
  </w:num>
  <w:num w:numId="3" w16cid:durableId="1632442973">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92835173">
    <w:abstractNumId w:val="0"/>
  </w:num>
  <w:num w:numId="5" w16cid:durableId="1845050465">
    <w:abstractNumId w:val="12"/>
  </w:num>
  <w:num w:numId="6" w16cid:durableId="225116297">
    <w:abstractNumId w:val="7"/>
  </w:num>
  <w:num w:numId="7" w16cid:durableId="1094715280">
    <w:abstractNumId w:val="21"/>
  </w:num>
  <w:num w:numId="8" w16cid:durableId="1858422433">
    <w:abstractNumId w:val="20"/>
  </w:num>
  <w:num w:numId="9" w16cid:durableId="1115057364">
    <w:abstractNumId w:val="13"/>
  </w:num>
  <w:num w:numId="10" w16cid:durableId="1921865631">
    <w:abstractNumId w:val="18"/>
  </w:num>
  <w:num w:numId="11" w16cid:durableId="961501493">
    <w:abstractNumId w:val="22"/>
  </w:num>
  <w:num w:numId="12" w16cid:durableId="217475440">
    <w:abstractNumId w:val="16"/>
  </w:num>
  <w:num w:numId="13" w16cid:durableId="615017666">
    <w:abstractNumId w:val="14"/>
  </w:num>
  <w:num w:numId="14" w16cid:durableId="2057392401">
    <w:abstractNumId w:val="9"/>
  </w:num>
  <w:num w:numId="15" w16cid:durableId="2063209316">
    <w:abstractNumId w:val="11"/>
  </w:num>
  <w:num w:numId="16" w16cid:durableId="1344942824">
    <w:abstractNumId w:val="17"/>
  </w:num>
  <w:num w:numId="17" w16cid:durableId="23406912">
    <w:abstractNumId w:val="10"/>
  </w:num>
  <w:num w:numId="18" w16cid:durableId="1108508616">
    <w:abstractNumId w:val="2"/>
  </w:num>
  <w:num w:numId="19" w16cid:durableId="407308847">
    <w:abstractNumId w:val="1"/>
  </w:num>
  <w:num w:numId="20" w16cid:durableId="1953853728">
    <w:abstractNumId w:val="23"/>
  </w:num>
  <w:num w:numId="21" w16cid:durableId="1933514979">
    <w:abstractNumId w:val="5"/>
  </w:num>
  <w:num w:numId="22" w16cid:durableId="1754928765">
    <w:abstractNumId w:val="15"/>
  </w:num>
  <w:num w:numId="23" w16cid:durableId="593781286">
    <w:abstractNumId w:val="3"/>
  </w:num>
  <w:num w:numId="24" w16cid:durableId="1454401169">
    <w:abstractNumId w:val="6"/>
  </w:num>
  <w:num w:numId="25" w16cid:durableId="120660022">
    <w:abstractNumId w:val="4"/>
  </w:num>
  <w:num w:numId="26" w16cid:durableId="1036347280">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33205980">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571404">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63419631">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C66"/>
    <w:rsid w:val="00000159"/>
    <w:rsid w:val="00000183"/>
    <w:rsid w:val="00000385"/>
    <w:rsid w:val="00000848"/>
    <w:rsid w:val="000009BA"/>
    <w:rsid w:val="00000F8C"/>
    <w:rsid w:val="0000196F"/>
    <w:rsid w:val="00001E5D"/>
    <w:rsid w:val="0000202F"/>
    <w:rsid w:val="00002264"/>
    <w:rsid w:val="00002B13"/>
    <w:rsid w:val="00002B41"/>
    <w:rsid w:val="00002E62"/>
    <w:rsid w:val="00002E81"/>
    <w:rsid w:val="00003048"/>
    <w:rsid w:val="000032D2"/>
    <w:rsid w:val="0000330E"/>
    <w:rsid w:val="00003FAB"/>
    <w:rsid w:val="00004091"/>
    <w:rsid w:val="000043A0"/>
    <w:rsid w:val="0000495D"/>
    <w:rsid w:val="00004AFC"/>
    <w:rsid w:val="00004C1A"/>
    <w:rsid w:val="00005176"/>
    <w:rsid w:val="000051C7"/>
    <w:rsid w:val="0000539F"/>
    <w:rsid w:val="00005E2E"/>
    <w:rsid w:val="000060E9"/>
    <w:rsid w:val="00006232"/>
    <w:rsid w:val="0000652C"/>
    <w:rsid w:val="000065DE"/>
    <w:rsid w:val="000067DB"/>
    <w:rsid w:val="000067E3"/>
    <w:rsid w:val="0000681D"/>
    <w:rsid w:val="000069D4"/>
    <w:rsid w:val="000070AC"/>
    <w:rsid w:val="00007232"/>
    <w:rsid w:val="00007316"/>
    <w:rsid w:val="00007357"/>
    <w:rsid w:val="0000736A"/>
    <w:rsid w:val="00007870"/>
    <w:rsid w:val="00007EA4"/>
    <w:rsid w:val="00010357"/>
    <w:rsid w:val="00010C93"/>
    <w:rsid w:val="00010CD3"/>
    <w:rsid w:val="00011D32"/>
    <w:rsid w:val="00011DF6"/>
    <w:rsid w:val="0001238E"/>
    <w:rsid w:val="00012AE9"/>
    <w:rsid w:val="00012B54"/>
    <w:rsid w:val="00012C06"/>
    <w:rsid w:val="0001330B"/>
    <w:rsid w:val="000133F1"/>
    <w:rsid w:val="00013771"/>
    <w:rsid w:val="00013780"/>
    <w:rsid w:val="00013BB1"/>
    <w:rsid w:val="00013CFD"/>
    <w:rsid w:val="00013D6A"/>
    <w:rsid w:val="00013DCB"/>
    <w:rsid w:val="0001409A"/>
    <w:rsid w:val="00014179"/>
    <w:rsid w:val="0001419B"/>
    <w:rsid w:val="0001445E"/>
    <w:rsid w:val="000148D3"/>
    <w:rsid w:val="00014F13"/>
    <w:rsid w:val="000150C6"/>
    <w:rsid w:val="0001519E"/>
    <w:rsid w:val="00015275"/>
    <w:rsid w:val="0001532D"/>
    <w:rsid w:val="000158B1"/>
    <w:rsid w:val="000158E9"/>
    <w:rsid w:val="00015DE4"/>
    <w:rsid w:val="00015EA4"/>
    <w:rsid w:val="00016025"/>
    <w:rsid w:val="00016EEC"/>
    <w:rsid w:val="00016F2D"/>
    <w:rsid w:val="000173A4"/>
    <w:rsid w:val="000178FD"/>
    <w:rsid w:val="00017A78"/>
    <w:rsid w:val="00017AA6"/>
    <w:rsid w:val="00017B58"/>
    <w:rsid w:val="00017C58"/>
    <w:rsid w:val="00017CEC"/>
    <w:rsid w:val="00020403"/>
    <w:rsid w:val="00020485"/>
    <w:rsid w:val="000206E5"/>
    <w:rsid w:val="000207FF"/>
    <w:rsid w:val="000208F7"/>
    <w:rsid w:val="00021094"/>
    <w:rsid w:val="000210BE"/>
    <w:rsid w:val="000212B9"/>
    <w:rsid w:val="000216B8"/>
    <w:rsid w:val="00021BA7"/>
    <w:rsid w:val="00021C7A"/>
    <w:rsid w:val="00021E5B"/>
    <w:rsid w:val="000221E3"/>
    <w:rsid w:val="000221EB"/>
    <w:rsid w:val="000222CF"/>
    <w:rsid w:val="00022A52"/>
    <w:rsid w:val="00022E2B"/>
    <w:rsid w:val="0002308C"/>
    <w:rsid w:val="000235BC"/>
    <w:rsid w:val="000235C7"/>
    <w:rsid w:val="000238AE"/>
    <w:rsid w:val="00023E15"/>
    <w:rsid w:val="000249EF"/>
    <w:rsid w:val="00024A68"/>
    <w:rsid w:val="00024BE0"/>
    <w:rsid w:val="00024D8C"/>
    <w:rsid w:val="00025249"/>
    <w:rsid w:val="00025515"/>
    <w:rsid w:val="00025589"/>
    <w:rsid w:val="00025A16"/>
    <w:rsid w:val="00025C66"/>
    <w:rsid w:val="00025DDD"/>
    <w:rsid w:val="00025E4A"/>
    <w:rsid w:val="00026218"/>
    <w:rsid w:val="000264A4"/>
    <w:rsid w:val="000268ED"/>
    <w:rsid w:val="00026DE8"/>
    <w:rsid w:val="00027192"/>
    <w:rsid w:val="00027A2D"/>
    <w:rsid w:val="00027B79"/>
    <w:rsid w:val="00027BD4"/>
    <w:rsid w:val="00027C4B"/>
    <w:rsid w:val="00027CC6"/>
    <w:rsid w:val="00027E4F"/>
    <w:rsid w:val="00027E66"/>
    <w:rsid w:val="00027F11"/>
    <w:rsid w:val="00027F37"/>
    <w:rsid w:val="000303BF"/>
    <w:rsid w:val="00030967"/>
    <w:rsid w:val="000309AF"/>
    <w:rsid w:val="00030AA6"/>
    <w:rsid w:val="00030D2A"/>
    <w:rsid w:val="00030F93"/>
    <w:rsid w:val="00031062"/>
    <w:rsid w:val="00031090"/>
    <w:rsid w:val="0003147C"/>
    <w:rsid w:val="00031540"/>
    <w:rsid w:val="000315E4"/>
    <w:rsid w:val="000318C9"/>
    <w:rsid w:val="00031CD7"/>
    <w:rsid w:val="0003208D"/>
    <w:rsid w:val="00032511"/>
    <w:rsid w:val="0003294C"/>
    <w:rsid w:val="000329BB"/>
    <w:rsid w:val="00032F63"/>
    <w:rsid w:val="000330B2"/>
    <w:rsid w:val="00033679"/>
    <w:rsid w:val="0003374B"/>
    <w:rsid w:val="00033842"/>
    <w:rsid w:val="00033D3C"/>
    <w:rsid w:val="00033F14"/>
    <w:rsid w:val="00034FD4"/>
    <w:rsid w:val="00035167"/>
    <w:rsid w:val="00035321"/>
    <w:rsid w:val="0003569E"/>
    <w:rsid w:val="00035785"/>
    <w:rsid w:val="0003582F"/>
    <w:rsid w:val="00036066"/>
    <w:rsid w:val="0003654D"/>
    <w:rsid w:val="00036B59"/>
    <w:rsid w:val="00036F18"/>
    <w:rsid w:val="00037733"/>
    <w:rsid w:val="000378B6"/>
    <w:rsid w:val="000378CC"/>
    <w:rsid w:val="00037BEC"/>
    <w:rsid w:val="00037D25"/>
    <w:rsid w:val="00037F9E"/>
    <w:rsid w:val="000407D3"/>
    <w:rsid w:val="000407DE"/>
    <w:rsid w:val="00041388"/>
    <w:rsid w:val="00041B52"/>
    <w:rsid w:val="00042195"/>
    <w:rsid w:val="000422D4"/>
    <w:rsid w:val="000427A2"/>
    <w:rsid w:val="00042A50"/>
    <w:rsid w:val="00042BD4"/>
    <w:rsid w:val="00042E7D"/>
    <w:rsid w:val="0004386E"/>
    <w:rsid w:val="000442A7"/>
    <w:rsid w:val="000442F7"/>
    <w:rsid w:val="000444D6"/>
    <w:rsid w:val="00044BDD"/>
    <w:rsid w:val="00044C1E"/>
    <w:rsid w:val="000451CC"/>
    <w:rsid w:val="000456BA"/>
    <w:rsid w:val="00045F82"/>
    <w:rsid w:val="00046770"/>
    <w:rsid w:val="000469A5"/>
    <w:rsid w:val="00046D2C"/>
    <w:rsid w:val="00046D97"/>
    <w:rsid w:val="00046DF9"/>
    <w:rsid w:val="000470FD"/>
    <w:rsid w:val="000472D0"/>
    <w:rsid w:val="0004741E"/>
    <w:rsid w:val="00047496"/>
    <w:rsid w:val="00047502"/>
    <w:rsid w:val="000500B3"/>
    <w:rsid w:val="000500B9"/>
    <w:rsid w:val="00050142"/>
    <w:rsid w:val="0005015F"/>
    <w:rsid w:val="00050249"/>
    <w:rsid w:val="0005027A"/>
    <w:rsid w:val="0005044E"/>
    <w:rsid w:val="00050953"/>
    <w:rsid w:val="00050AA5"/>
    <w:rsid w:val="00050B25"/>
    <w:rsid w:val="00050F8A"/>
    <w:rsid w:val="000515EC"/>
    <w:rsid w:val="00051616"/>
    <w:rsid w:val="00051762"/>
    <w:rsid w:val="00051A6C"/>
    <w:rsid w:val="00051A85"/>
    <w:rsid w:val="0005239B"/>
    <w:rsid w:val="000528B9"/>
    <w:rsid w:val="00052BFE"/>
    <w:rsid w:val="00052C04"/>
    <w:rsid w:val="00053090"/>
    <w:rsid w:val="0005354B"/>
    <w:rsid w:val="00053E0D"/>
    <w:rsid w:val="00053F37"/>
    <w:rsid w:val="00054097"/>
    <w:rsid w:val="00054290"/>
    <w:rsid w:val="0005438C"/>
    <w:rsid w:val="0005447D"/>
    <w:rsid w:val="0005479B"/>
    <w:rsid w:val="000547A3"/>
    <w:rsid w:val="00054965"/>
    <w:rsid w:val="00054ABC"/>
    <w:rsid w:val="00055345"/>
    <w:rsid w:val="00055994"/>
    <w:rsid w:val="00055B11"/>
    <w:rsid w:val="00055C2F"/>
    <w:rsid w:val="000560D3"/>
    <w:rsid w:val="000563CD"/>
    <w:rsid w:val="00056A0F"/>
    <w:rsid w:val="00056BB8"/>
    <w:rsid w:val="00056FF0"/>
    <w:rsid w:val="00057002"/>
    <w:rsid w:val="0005713C"/>
    <w:rsid w:val="000572CB"/>
    <w:rsid w:val="000574BF"/>
    <w:rsid w:val="00057D50"/>
    <w:rsid w:val="00057FC5"/>
    <w:rsid w:val="00060096"/>
    <w:rsid w:val="0006035B"/>
    <w:rsid w:val="00060AF0"/>
    <w:rsid w:val="00060D4C"/>
    <w:rsid w:val="00061323"/>
    <w:rsid w:val="00061363"/>
    <w:rsid w:val="00061997"/>
    <w:rsid w:val="00061A01"/>
    <w:rsid w:val="00061E10"/>
    <w:rsid w:val="000628A6"/>
    <w:rsid w:val="00062A28"/>
    <w:rsid w:val="000634F9"/>
    <w:rsid w:val="000635CC"/>
    <w:rsid w:val="000635D9"/>
    <w:rsid w:val="000638E5"/>
    <w:rsid w:val="0006415D"/>
    <w:rsid w:val="00064444"/>
    <w:rsid w:val="00064BE5"/>
    <w:rsid w:val="00064CDD"/>
    <w:rsid w:val="00064EB1"/>
    <w:rsid w:val="0006502E"/>
    <w:rsid w:val="000654A6"/>
    <w:rsid w:val="000659A1"/>
    <w:rsid w:val="0006619E"/>
    <w:rsid w:val="000661F9"/>
    <w:rsid w:val="0006695B"/>
    <w:rsid w:val="00066F77"/>
    <w:rsid w:val="000672ED"/>
    <w:rsid w:val="00067567"/>
    <w:rsid w:val="000675A3"/>
    <w:rsid w:val="0006786E"/>
    <w:rsid w:val="000678AA"/>
    <w:rsid w:val="000679AB"/>
    <w:rsid w:val="00067C46"/>
    <w:rsid w:val="00070171"/>
    <w:rsid w:val="0007066E"/>
    <w:rsid w:val="000708A4"/>
    <w:rsid w:val="00070B76"/>
    <w:rsid w:val="00070EBB"/>
    <w:rsid w:val="00071274"/>
    <w:rsid w:val="000713C1"/>
    <w:rsid w:val="00071556"/>
    <w:rsid w:val="00071929"/>
    <w:rsid w:val="00071E8E"/>
    <w:rsid w:val="00071F48"/>
    <w:rsid w:val="000723CD"/>
    <w:rsid w:val="000727FC"/>
    <w:rsid w:val="00072AEC"/>
    <w:rsid w:val="00072C72"/>
    <w:rsid w:val="00072CE3"/>
    <w:rsid w:val="00072FA0"/>
    <w:rsid w:val="000737C8"/>
    <w:rsid w:val="00073ABC"/>
    <w:rsid w:val="00073B57"/>
    <w:rsid w:val="00073B6B"/>
    <w:rsid w:val="00073BCA"/>
    <w:rsid w:val="00073DF0"/>
    <w:rsid w:val="00073E35"/>
    <w:rsid w:val="00073F29"/>
    <w:rsid w:val="00074150"/>
    <w:rsid w:val="000742C6"/>
    <w:rsid w:val="00074D49"/>
    <w:rsid w:val="00074EC3"/>
    <w:rsid w:val="000750B7"/>
    <w:rsid w:val="000750CB"/>
    <w:rsid w:val="0007523E"/>
    <w:rsid w:val="0007581A"/>
    <w:rsid w:val="00075998"/>
    <w:rsid w:val="00075CF7"/>
    <w:rsid w:val="00075F56"/>
    <w:rsid w:val="0007657B"/>
    <w:rsid w:val="0007681B"/>
    <w:rsid w:val="000769B1"/>
    <w:rsid w:val="00076ADE"/>
    <w:rsid w:val="00076BD9"/>
    <w:rsid w:val="00076D4D"/>
    <w:rsid w:val="00076E10"/>
    <w:rsid w:val="00076EFB"/>
    <w:rsid w:val="0007760C"/>
    <w:rsid w:val="000776A1"/>
    <w:rsid w:val="00077880"/>
    <w:rsid w:val="00077AE6"/>
    <w:rsid w:val="00077B59"/>
    <w:rsid w:val="00081059"/>
    <w:rsid w:val="000810D0"/>
    <w:rsid w:val="0008135C"/>
    <w:rsid w:val="000813A0"/>
    <w:rsid w:val="000813EC"/>
    <w:rsid w:val="000816C1"/>
    <w:rsid w:val="000816FF"/>
    <w:rsid w:val="00081765"/>
    <w:rsid w:val="00081E31"/>
    <w:rsid w:val="00082149"/>
    <w:rsid w:val="000821A9"/>
    <w:rsid w:val="0008228F"/>
    <w:rsid w:val="00082812"/>
    <w:rsid w:val="00082FD1"/>
    <w:rsid w:val="000834F0"/>
    <w:rsid w:val="00083A79"/>
    <w:rsid w:val="00083E2D"/>
    <w:rsid w:val="00083EBF"/>
    <w:rsid w:val="00083F89"/>
    <w:rsid w:val="00083FFC"/>
    <w:rsid w:val="00084102"/>
    <w:rsid w:val="000845BB"/>
    <w:rsid w:val="00084783"/>
    <w:rsid w:val="000854D2"/>
    <w:rsid w:val="000855AC"/>
    <w:rsid w:val="0008567F"/>
    <w:rsid w:val="00085700"/>
    <w:rsid w:val="00085AA9"/>
    <w:rsid w:val="00085DB9"/>
    <w:rsid w:val="0008609C"/>
    <w:rsid w:val="0008633F"/>
    <w:rsid w:val="00086491"/>
    <w:rsid w:val="00086C96"/>
    <w:rsid w:val="000873E6"/>
    <w:rsid w:val="000879E8"/>
    <w:rsid w:val="00087B47"/>
    <w:rsid w:val="0009007A"/>
    <w:rsid w:val="000906DE"/>
    <w:rsid w:val="000908A0"/>
    <w:rsid w:val="00091588"/>
    <w:rsid w:val="00091787"/>
    <w:rsid w:val="0009192E"/>
    <w:rsid w:val="00091B98"/>
    <w:rsid w:val="00091F7A"/>
    <w:rsid w:val="000923AB"/>
    <w:rsid w:val="00092619"/>
    <w:rsid w:val="00092898"/>
    <w:rsid w:val="00092C62"/>
    <w:rsid w:val="000932FF"/>
    <w:rsid w:val="0009332E"/>
    <w:rsid w:val="000933C8"/>
    <w:rsid w:val="0009364E"/>
    <w:rsid w:val="000939AD"/>
    <w:rsid w:val="00093C16"/>
    <w:rsid w:val="00093C60"/>
    <w:rsid w:val="000946D6"/>
    <w:rsid w:val="000956FD"/>
    <w:rsid w:val="000957B5"/>
    <w:rsid w:val="00095C80"/>
    <w:rsid w:val="00096878"/>
    <w:rsid w:val="00096988"/>
    <w:rsid w:val="00096B24"/>
    <w:rsid w:val="00096CA6"/>
    <w:rsid w:val="00096CD3"/>
    <w:rsid w:val="00096DB0"/>
    <w:rsid w:val="000972C3"/>
    <w:rsid w:val="00097AFF"/>
    <w:rsid w:val="00097DB6"/>
    <w:rsid w:val="000A0174"/>
    <w:rsid w:val="000A03B5"/>
    <w:rsid w:val="000A0B58"/>
    <w:rsid w:val="000A0C74"/>
    <w:rsid w:val="000A0D1A"/>
    <w:rsid w:val="000A0DD5"/>
    <w:rsid w:val="000A1713"/>
    <w:rsid w:val="000A1832"/>
    <w:rsid w:val="000A191F"/>
    <w:rsid w:val="000A1A6B"/>
    <w:rsid w:val="000A1D78"/>
    <w:rsid w:val="000A1DFB"/>
    <w:rsid w:val="000A2307"/>
    <w:rsid w:val="000A2422"/>
    <w:rsid w:val="000A2517"/>
    <w:rsid w:val="000A34AA"/>
    <w:rsid w:val="000A3514"/>
    <w:rsid w:val="000A3706"/>
    <w:rsid w:val="000A4329"/>
    <w:rsid w:val="000A447E"/>
    <w:rsid w:val="000A46A9"/>
    <w:rsid w:val="000A4C26"/>
    <w:rsid w:val="000A5291"/>
    <w:rsid w:val="000A5526"/>
    <w:rsid w:val="000A5963"/>
    <w:rsid w:val="000A5BD0"/>
    <w:rsid w:val="000A5E68"/>
    <w:rsid w:val="000A5E75"/>
    <w:rsid w:val="000A5ED3"/>
    <w:rsid w:val="000A5F5C"/>
    <w:rsid w:val="000A62D1"/>
    <w:rsid w:val="000A62DA"/>
    <w:rsid w:val="000A62FB"/>
    <w:rsid w:val="000A6595"/>
    <w:rsid w:val="000A65A7"/>
    <w:rsid w:val="000A6744"/>
    <w:rsid w:val="000A6903"/>
    <w:rsid w:val="000A70C8"/>
    <w:rsid w:val="000A73CC"/>
    <w:rsid w:val="000A7A05"/>
    <w:rsid w:val="000A7D0D"/>
    <w:rsid w:val="000A7DB9"/>
    <w:rsid w:val="000B03F5"/>
    <w:rsid w:val="000B0493"/>
    <w:rsid w:val="000B0869"/>
    <w:rsid w:val="000B0890"/>
    <w:rsid w:val="000B09B1"/>
    <w:rsid w:val="000B0BEE"/>
    <w:rsid w:val="000B0D37"/>
    <w:rsid w:val="000B1059"/>
    <w:rsid w:val="000B145B"/>
    <w:rsid w:val="000B1632"/>
    <w:rsid w:val="000B1D92"/>
    <w:rsid w:val="000B2225"/>
    <w:rsid w:val="000B2325"/>
    <w:rsid w:val="000B261B"/>
    <w:rsid w:val="000B26DE"/>
    <w:rsid w:val="000B3389"/>
    <w:rsid w:val="000B3782"/>
    <w:rsid w:val="000B3A5E"/>
    <w:rsid w:val="000B3B81"/>
    <w:rsid w:val="000B4118"/>
    <w:rsid w:val="000B455B"/>
    <w:rsid w:val="000B474F"/>
    <w:rsid w:val="000B4D5E"/>
    <w:rsid w:val="000B4DF3"/>
    <w:rsid w:val="000B5276"/>
    <w:rsid w:val="000B5425"/>
    <w:rsid w:val="000B57AA"/>
    <w:rsid w:val="000B5820"/>
    <w:rsid w:val="000B58D3"/>
    <w:rsid w:val="000B58E9"/>
    <w:rsid w:val="000B605F"/>
    <w:rsid w:val="000B65F3"/>
    <w:rsid w:val="000B6877"/>
    <w:rsid w:val="000B6AF2"/>
    <w:rsid w:val="000B6BA1"/>
    <w:rsid w:val="000B6D13"/>
    <w:rsid w:val="000B6E4A"/>
    <w:rsid w:val="000B74BC"/>
    <w:rsid w:val="000B7774"/>
    <w:rsid w:val="000B7DC3"/>
    <w:rsid w:val="000C0439"/>
    <w:rsid w:val="000C07F8"/>
    <w:rsid w:val="000C0835"/>
    <w:rsid w:val="000C0928"/>
    <w:rsid w:val="000C0E41"/>
    <w:rsid w:val="000C1157"/>
    <w:rsid w:val="000C14E5"/>
    <w:rsid w:val="000C1B7B"/>
    <w:rsid w:val="000C1D4F"/>
    <w:rsid w:val="000C1E60"/>
    <w:rsid w:val="000C248D"/>
    <w:rsid w:val="000C347F"/>
    <w:rsid w:val="000C3666"/>
    <w:rsid w:val="000C38E5"/>
    <w:rsid w:val="000C392D"/>
    <w:rsid w:val="000C3B2C"/>
    <w:rsid w:val="000C41A4"/>
    <w:rsid w:val="000C429F"/>
    <w:rsid w:val="000C459C"/>
    <w:rsid w:val="000C4CEA"/>
    <w:rsid w:val="000C4FDD"/>
    <w:rsid w:val="000C5694"/>
    <w:rsid w:val="000C57E8"/>
    <w:rsid w:val="000C6481"/>
    <w:rsid w:val="000C6682"/>
    <w:rsid w:val="000C66BD"/>
    <w:rsid w:val="000C6824"/>
    <w:rsid w:val="000C6A93"/>
    <w:rsid w:val="000C6CF1"/>
    <w:rsid w:val="000C70AD"/>
    <w:rsid w:val="000C723D"/>
    <w:rsid w:val="000C7493"/>
    <w:rsid w:val="000C753F"/>
    <w:rsid w:val="000C75B0"/>
    <w:rsid w:val="000C7AB8"/>
    <w:rsid w:val="000C7D68"/>
    <w:rsid w:val="000C7F4E"/>
    <w:rsid w:val="000D0361"/>
    <w:rsid w:val="000D0A1E"/>
    <w:rsid w:val="000D0AC3"/>
    <w:rsid w:val="000D0B11"/>
    <w:rsid w:val="000D0B35"/>
    <w:rsid w:val="000D0BEA"/>
    <w:rsid w:val="000D0D28"/>
    <w:rsid w:val="000D161C"/>
    <w:rsid w:val="000D20F7"/>
    <w:rsid w:val="000D238C"/>
    <w:rsid w:val="000D2464"/>
    <w:rsid w:val="000D255C"/>
    <w:rsid w:val="000D25E4"/>
    <w:rsid w:val="000D2712"/>
    <w:rsid w:val="000D2A83"/>
    <w:rsid w:val="000D2D0D"/>
    <w:rsid w:val="000D2DF1"/>
    <w:rsid w:val="000D2FB5"/>
    <w:rsid w:val="000D30D3"/>
    <w:rsid w:val="000D3272"/>
    <w:rsid w:val="000D4033"/>
    <w:rsid w:val="000D5391"/>
    <w:rsid w:val="000D5465"/>
    <w:rsid w:val="000D54C2"/>
    <w:rsid w:val="000D59A6"/>
    <w:rsid w:val="000D5B97"/>
    <w:rsid w:val="000D5EDF"/>
    <w:rsid w:val="000D69B2"/>
    <w:rsid w:val="000D6E07"/>
    <w:rsid w:val="000D778A"/>
    <w:rsid w:val="000E0598"/>
    <w:rsid w:val="000E0C5B"/>
    <w:rsid w:val="000E10AB"/>
    <w:rsid w:val="000E144C"/>
    <w:rsid w:val="000E1531"/>
    <w:rsid w:val="000E15F2"/>
    <w:rsid w:val="000E1759"/>
    <w:rsid w:val="000E19EC"/>
    <w:rsid w:val="000E19F0"/>
    <w:rsid w:val="000E22EB"/>
    <w:rsid w:val="000E23C5"/>
    <w:rsid w:val="000E2447"/>
    <w:rsid w:val="000E2A82"/>
    <w:rsid w:val="000E2B40"/>
    <w:rsid w:val="000E2C82"/>
    <w:rsid w:val="000E2D39"/>
    <w:rsid w:val="000E2ED2"/>
    <w:rsid w:val="000E31E1"/>
    <w:rsid w:val="000E35A1"/>
    <w:rsid w:val="000E3725"/>
    <w:rsid w:val="000E38E1"/>
    <w:rsid w:val="000E3E6E"/>
    <w:rsid w:val="000E3E81"/>
    <w:rsid w:val="000E418C"/>
    <w:rsid w:val="000E4277"/>
    <w:rsid w:val="000E43D1"/>
    <w:rsid w:val="000E4492"/>
    <w:rsid w:val="000E4747"/>
    <w:rsid w:val="000E477D"/>
    <w:rsid w:val="000E48A5"/>
    <w:rsid w:val="000E4F7E"/>
    <w:rsid w:val="000E503E"/>
    <w:rsid w:val="000E504D"/>
    <w:rsid w:val="000E52BD"/>
    <w:rsid w:val="000E5368"/>
    <w:rsid w:val="000E5A13"/>
    <w:rsid w:val="000E5CAA"/>
    <w:rsid w:val="000E609E"/>
    <w:rsid w:val="000E6316"/>
    <w:rsid w:val="000E71CD"/>
    <w:rsid w:val="000E728F"/>
    <w:rsid w:val="000E75F0"/>
    <w:rsid w:val="000E78E7"/>
    <w:rsid w:val="000E7900"/>
    <w:rsid w:val="000E7E68"/>
    <w:rsid w:val="000F0182"/>
    <w:rsid w:val="000F03ED"/>
    <w:rsid w:val="000F05E3"/>
    <w:rsid w:val="000F07FC"/>
    <w:rsid w:val="000F0832"/>
    <w:rsid w:val="000F08B1"/>
    <w:rsid w:val="000F0E9B"/>
    <w:rsid w:val="000F1082"/>
    <w:rsid w:val="000F1A39"/>
    <w:rsid w:val="000F278E"/>
    <w:rsid w:val="000F2D3B"/>
    <w:rsid w:val="000F2E17"/>
    <w:rsid w:val="000F2FAD"/>
    <w:rsid w:val="000F32F8"/>
    <w:rsid w:val="000F338B"/>
    <w:rsid w:val="000F3709"/>
    <w:rsid w:val="000F38E3"/>
    <w:rsid w:val="000F3A0C"/>
    <w:rsid w:val="000F4192"/>
    <w:rsid w:val="000F41D8"/>
    <w:rsid w:val="000F44F0"/>
    <w:rsid w:val="000F4BEF"/>
    <w:rsid w:val="000F5909"/>
    <w:rsid w:val="000F5E30"/>
    <w:rsid w:val="000F5E8F"/>
    <w:rsid w:val="000F62F5"/>
    <w:rsid w:val="000F6B44"/>
    <w:rsid w:val="000F6D38"/>
    <w:rsid w:val="000F7485"/>
    <w:rsid w:val="000F748A"/>
    <w:rsid w:val="000F7492"/>
    <w:rsid w:val="000F7C21"/>
    <w:rsid w:val="00100028"/>
    <w:rsid w:val="00100310"/>
    <w:rsid w:val="00100712"/>
    <w:rsid w:val="00100F66"/>
    <w:rsid w:val="001011FC"/>
    <w:rsid w:val="00101480"/>
    <w:rsid w:val="0010160F"/>
    <w:rsid w:val="001017F3"/>
    <w:rsid w:val="00101B58"/>
    <w:rsid w:val="00102245"/>
    <w:rsid w:val="0010250E"/>
    <w:rsid w:val="001027EF"/>
    <w:rsid w:val="00102909"/>
    <w:rsid w:val="00102C46"/>
    <w:rsid w:val="00102D19"/>
    <w:rsid w:val="00102E41"/>
    <w:rsid w:val="001030D5"/>
    <w:rsid w:val="00103753"/>
    <w:rsid w:val="00103911"/>
    <w:rsid w:val="00103B54"/>
    <w:rsid w:val="001046F9"/>
    <w:rsid w:val="00104E61"/>
    <w:rsid w:val="001054FD"/>
    <w:rsid w:val="001057B0"/>
    <w:rsid w:val="00105B7F"/>
    <w:rsid w:val="00105C63"/>
    <w:rsid w:val="00105DB3"/>
    <w:rsid w:val="00106057"/>
    <w:rsid w:val="0010678C"/>
    <w:rsid w:val="001067F7"/>
    <w:rsid w:val="0010696C"/>
    <w:rsid w:val="00106BF7"/>
    <w:rsid w:val="00106C3A"/>
    <w:rsid w:val="00106EAC"/>
    <w:rsid w:val="001070EC"/>
    <w:rsid w:val="001077F4"/>
    <w:rsid w:val="00107B33"/>
    <w:rsid w:val="00107EDA"/>
    <w:rsid w:val="0011021A"/>
    <w:rsid w:val="00110340"/>
    <w:rsid w:val="001108CC"/>
    <w:rsid w:val="001109FF"/>
    <w:rsid w:val="00110BCE"/>
    <w:rsid w:val="00110F52"/>
    <w:rsid w:val="00110FAA"/>
    <w:rsid w:val="0011117A"/>
    <w:rsid w:val="00111839"/>
    <w:rsid w:val="00111A39"/>
    <w:rsid w:val="001125C4"/>
    <w:rsid w:val="00112A21"/>
    <w:rsid w:val="00112B7F"/>
    <w:rsid w:val="00112CAC"/>
    <w:rsid w:val="00112D6B"/>
    <w:rsid w:val="00112E29"/>
    <w:rsid w:val="001130AA"/>
    <w:rsid w:val="001131C4"/>
    <w:rsid w:val="00113399"/>
    <w:rsid w:val="00113A31"/>
    <w:rsid w:val="00113AF3"/>
    <w:rsid w:val="0011414E"/>
    <w:rsid w:val="001149DF"/>
    <w:rsid w:val="00114B2E"/>
    <w:rsid w:val="00114BA0"/>
    <w:rsid w:val="00114BC8"/>
    <w:rsid w:val="00115349"/>
    <w:rsid w:val="0011595A"/>
    <w:rsid w:val="001159B1"/>
    <w:rsid w:val="00115A85"/>
    <w:rsid w:val="00115E9C"/>
    <w:rsid w:val="00116305"/>
    <w:rsid w:val="00116488"/>
    <w:rsid w:val="001166D3"/>
    <w:rsid w:val="001169F0"/>
    <w:rsid w:val="00116D0A"/>
    <w:rsid w:val="00116D5C"/>
    <w:rsid w:val="00116DE7"/>
    <w:rsid w:val="00116F5F"/>
    <w:rsid w:val="0011719C"/>
    <w:rsid w:val="001172B5"/>
    <w:rsid w:val="00117DB0"/>
    <w:rsid w:val="0012003F"/>
    <w:rsid w:val="00120078"/>
    <w:rsid w:val="0012018E"/>
    <w:rsid w:val="0012059C"/>
    <w:rsid w:val="00121241"/>
    <w:rsid w:val="0012230F"/>
    <w:rsid w:val="00122454"/>
    <w:rsid w:val="00122480"/>
    <w:rsid w:val="00122604"/>
    <w:rsid w:val="001227CB"/>
    <w:rsid w:val="0012280E"/>
    <w:rsid w:val="00122D77"/>
    <w:rsid w:val="001235E6"/>
    <w:rsid w:val="00123D1B"/>
    <w:rsid w:val="00124218"/>
    <w:rsid w:val="001244AE"/>
    <w:rsid w:val="0012453B"/>
    <w:rsid w:val="0012483E"/>
    <w:rsid w:val="00124CE5"/>
    <w:rsid w:val="0012520E"/>
    <w:rsid w:val="00125797"/>
    <w:rsid w:val="00125EEB"/>
    <w:rsid w:val="001266FE"/>
    <w:rsid w:val="00126BB4"/>
    <w:rsid w:val="00126E50"/>
    <w:rsid w:val="0012765E"/>
    <w:rsid w:val="001276AA"/>
    <w:rsid w:val="0012771B"/>
    <w:rsid w:val="001279AE"/>
    <w:rsid w:val="00127A76"/>
    <w:rsid w:val="00127CB4"/>
    <w:rsid w:val="00127CDD"/>
    <w:rsid w:val="00130559"/>
    <w:rsid w:val="00130D77"/>
    <w:rsid w:val="00130F71"/>
    <w:rsid w:val="00130F97"/>
    <w:rsid w:val="001319F0"/>
    <w:rsid w:val="00131F0A"/>
    <w:rsid w:val="0013214E"/>
    <w:rsid w:val="00132241"/>
    <w:rsid w:val="001324B1"/>
    <w:rsid w:val="00132687"/>
    <w:rsid w:val="00132905"/>
    <w:rsid w:val="00132AEF"/>
    <w:rsid w:val="0013334D"/>
    <w:rsid w:val="00133C2A"/>
    <w:rsid w:val="00134101"/>
    <w:rsid w:val="0013415D"/>
    <w:rsid w:val="001342A6"/>
    <w:rsid w:val="001342DC"/>
    <w:rsid w:val="001347B5"/>
    <w:rsid w:val="00134931"/>
    <w:rsid w:val="00134BF6"/>
    <w:rsid w:val="00134CB5"/>
    <w:rsid w:val="00134FB1"/>
    <w:rsid w:val="00135272"/>
    <w:rsid w:val="0013534E"/>
    <w:rsid w:val="00135767"/>
    <w:rsid w:val="00135BA3"/>
    <w:rsid w:val="00135BE5"/>
    <w:rsid w:val="0013606C"/>
    <w:rsid w:val="001361B7"/>
    <w:rsid w:val="00136218"/>
    <w:rsid w:val="001367D1"/>
    <w:rsid w:val="00136ACC"/>
    <w:rsid w:val="001374FD"/>
    <w:rsid w:val="001377BB"/>
    <w:rsid w:val="00137B09"/>
    <w:rsid w:val="00140023"/>
    <w:rsid w:val="001401F3"/>
    <w:rsid w:val="0014043A"/>
    <w:rsid w:val="001406F4"/>
    <w:rsid w:val="001407B6"/>
    <w:rsid w:val="0014128B"/>
    <w:rsid w:val="001412EE"/>
    <w:rsid w:val="00141393"/>
    <w:rsid w:val="00141403"/>
    <w:rsid w:val="001416A0"/>
    <w:rsid w:val="001417C1"/>
    <w:rsid w:val="00142180"/>
    <w:rsid w:val="00142214"/>
    <w:rsid w:val="001428D3"/>
    <w:rsid w:val="00142CA5"/>
    <w:rsid w:val="00142FAF"/>
    <w:rsid w:val="00143763"/>
    <w:rsid w:val="00143A2D"/>
    <w:rsid w:val="00143F3B"/>
    <w:rsid w:val="00143FD0"/>
    <w:rsid w:val="00144441"/>
    <w:rsid w:val="001444B9"/>
    <w:rsid w:val="0014467E"/>
    <w:rsid w:val="00144749"/>
    <w:rsid w:val="00144A7A"/>
    <w:rsid w:val="00144DA2"/>
    <w:rsid w:val="00144E6B"/>
    <w:rsid w:val="00144ED7"/>
    <w:rsid w:val="001458BC"/>
    <w:rsid w:val="00145916"/>
    <w:rsid w:val="00145AF0"/>
    <w:rsid w:val="00145BB9"/>
    <w:rsid w:val="001461F7"/>
    <w:rsid w:val="00146254"/>
    <w:rsid w:val="0014632E"/>
    <w:rsid w:val="00146D18"/>
    <w:rsid w:val="00147213"/>
    <w:rsid w:val="001474D6"/>
    <w:rsid w:val="00147627"/>
    <w:rsid w:val="00147714"/>
    <w:rsid w:val="001479E8"/>
    <w:rsid w:val="00147E78"/>
    <w:rsid w:val="00150387"/>
    <w:rsid w:val="0015068B"/>
    <w:rsid w:val="00150C2A"/>
    <w:rsid w:val="00150D8C"/>
    <w:rsid w:val="001512C0"/>
    <w:rsid w:val="001513A4"/>
    <w:rsid w:val="00151871"/>
    <w:rsid w:val="001518F5"/>
    <w:rsid w:val="001519B0"/>
    <w:rsid w:val="00152211"/>
    <w:rsid w:val="0015237A"/>
    <w:rsid w:val="001528EB"/>
    <w:rsid w:val="00152BCA"/>
    <w:rsid w:val="001534FC"/>
    <w:rsid w:val="00153600"/>
    <w:rsid w:val="001537A1"/>
    <w:rsid w:val="00154151"/>
    <w:rsid w:val="00154216"/>
    <w:rsid w:val="00154234"/>
    <w:rsid w:val="00154314"/>
    <w:rsid w:val="00154B79"/>
    <w:rsid w:val="00154C3B"/>
    <w:rsid w:val="001553A8"/>
    <w:rsid w:val="00155562"/>
    <w:rsid w:val="0015575E"/>
    <w:rsid w:val="0015598C"/>
    <w:rsid w:val="001559BC"/>
    <w:rsid w:val="00155EC6"/>
    <w:rsid w:val="0015610A"/>
    <w:rsid w:val="00156388"/>
    <w:rsid w:val="001564CE"/>
    <w:rsid w:val="0015677F"/>
    <w:rsid w:val="001568F3"/>
    <w:rsid w:val="001569C7"/>
    <w:rsid w:val="00156BB1"/>
    <w:rsid w:val="00157175"/>
    <w:rsid w:val="00157237"/>
    <w:rsid w:val="001576DD"/>
    <w:rsid w:val="00157B25"/>
    <w:rsid w:val="00157C79"/>
    <w:rsid w:val="00157FF1"/>
    <w:rsid w:val="00160014"/>
    <w:rsid w:val="001600FA"/>
    <w:rsid w:val="00160357"/>
    <w:rsid w:val="00160A63"/>
    <w:rsid w:val="00160D50"/>
    <w:rsid w:val="00160E4D"/>
    <w:rsid w:val="0016127A"/>
    <w:rsid w:val="0016135B"/>
    <w:rsid w:val="001616B9"/>
    <w:rsid w:val="0016181E"/>
    <w:rsid w:val="00161AA8"/>
    <w:rsid w:val="00161B4A"/>
    <w:rsid w:val="00161C57"/>
    <w:rsid w:val="0016264E"/>
    <w:rsid w:val="0016313E"/>
    <w:rsid w:val="001631F6"/>
    <w:rsid w:val="00163514"/>
    <w:rsid w:val="001636BD"/>
    <w:rsid w:val="0016454A"/>
    <w:rsid w:val="00164870"/>
    <w:rsid w:val="00164CB6"/>
    <w:rsid w:val="0016504E"/>
    <w:rsid w:val="00165114"/>
    <w:rsid w:val="001651F7"/>
    <w:rsid w:val="001653C4"/>
    <w:rsid w:val="001655A9"/>
    <w:rsid w:val="0016582A"/>
    <w:rsid w:val="00165D95"/>
    <w:rsid w:val="001661DB"/>
    <w:rsid w:val="0016648C"/>
    <w:rsid w:val="00166CBF"/>
    <w:rsid w:val="00166F16"/>
    <w:rsid w:val="00167151"/>
    <w:rsid w:val="001675BD"/>
    <w:rsid w:val="0016770F"/>
    <w:rsid w:val="0016771C"/>
    <w:rsid w:val="0016792A"/>
    <w:rsid w:val="00167943"/>
    <w:rsid w:val="00167965"/>
    <w:rsid w:val="00167B34"/>
    <w:rsid w:val="0017055D"/>
    <w:rsid w:val="001705B4"/>
    <w:rsid w:val="00170D82"/>
    <w:rsid w:val="001711A9"/>
    <w:rsid w:val="00171603"/>
    <w:rsid w:val="00171E8E"/>
    <w:rsid w:val="001720AD"/>
    <w:rsid w:val="001720E2"/>
    <w:rsid w:val="0017292D"/>
    <w:rsid w:val="0017296E"/>
    <w:rsid w:val="00172B07"/>
    <w:rsid w:val="00172C90"/>
    <w:rsid w:val="00172F22"/>
    <w:rsid w:val="00173258"/>
    <w:rsid w:val="0017335E"/>
    <w:rsid w:val="001734B4"/>
    <w:rsid w:val="00173D03"/>
    <w:rsid w:val="00173ED9"/>
    <w:rsid w:val="00174489"/>
    <w:rsid w:val="001746AE"/>
    <w:rsid w:val="001746DE"/>
    <w:rsid w:val="00174737"/>
    <w:rsid w:val="001749DF"/>
    <w:rsid w:val="00174A1F"/>
    <w:rsid w:val="00174C1D"/>
    <w:rsid w:val="00175A3A"/>
    <w:rsid w:val="00175C65"/>
    <w:rsid w:val="00175CC0"/>
    <w:rsid w:val="00175D73"/>
    <w:rsid w:val="00176871"/>
    <w:rsid w:val="001769F1"/>
    <w:rsid w:val="00176C28"/>
    <w:rsid w:val="0017701D"/>
    <w:rsid w:val="0017739E"/>
    <w:rsid w:val="001776BB"/>
    <w:rsid w:val="001801CC"/>
    <w:rsid w:val="00180618"/>
    <w:rsid w:val="001807E5"/>
    <w:rsid w:val="00180943"/>
    <w:rsid w:val="00180A38"/>
    <w:rsid w:val="00180DA8"/>
    <w:rsid w:val="001815E3"/>
    <w:rsid w:val="00181BE7"/>
    <w:rsid w:val="00181E9F"/>
    <w:rsid w:val="0018222F"/>
    <w:rsid w:val="00182337"/>
    <w:rsid w:val="001827E5"/>
    <w:rsid w:val="0018289E"/>
    <w:rsid w:val="00182F47"/>
    <w:rsid w:val="00183A4F"/>
    <w:rsid w:val="00183AFF"/>
    <w:rsid w:val="00183D2E"/>
    <w:rsid w:val="00183EAB"/>
    <w:rsid w:val="0018406B"/>
    <w:rsid w:val="0018445F"/>
    <w:rsid w:val="001848F2"/>
    <w:rsid w:val="00184DAB"/>
    <w:rsid w:val="0018518B"/>
    <w:rsid w:val="0018560C"/>
    <w:rsid w:val="00185BB7"/>
    <w:rsid w:val="00185E91"/>
    <w:rsid w:val="0018645D"/>
    <w:rsid w:val="00186674"/>
    <w:rsid w:val="00186973"/>
    <w:rsid w:val="00187656"/>
    <w:rsid w:val="001878DF"/>
    <w:rsid w:val="00187F21"/>
    <w:rsid w:val="0019019B"/>
    <w:rsid w:val="00190E63"/>
    <w:rsid w:val="0019104A"/>
    <w:rsid w:val="001915A9"/>
    <w:rsid w:val="00191CA1"/>
    <w:rsid w:val="00191D09"/>
    <w:rsid w:val="001923A1"/>
    <w:rsid w:val="00192B6E"/>
    <w:rsid w:val="0019392C"/>
    <w:rsid w:val="00193A6C"/>
    <w:rsid w:val="00193D26"/>
    <w:rsid w:val="00194775"/>
    <w:rsid w:val="00194950"/>
    <w:rsid w:val="00194C7F"/>
    <w:rsid w:val="00194E5E"/>
    <w:rsid w:val="00194F0C"/>
    <w:rsid w:val="00195278"/>
    <w:rsid w:val="00195463"/>
    <w:rsid w:val="00195BDD"/>
    <w:rsid w:val="00195CE8"/>
    <w:rsid w:val="0019670C"/>
    <w:rsid w:val="00196CD6"/>
    <w:rsid w:val="001979B2"/>
    <w:rsid w:val="00197F43"/>
    <w:rsid w:val="00197FD7"/>
    <w:rsid w:val="001A0060"/>
    <w:rsid w:val="001A01DF"/>
    <w:rsid w:val="001A04BD"/>
    <w:rsid w:val="001A0631"/>
    <w:rsid w:val="001A06E4"/>
    <w:rsid w:val="001A0757"/>
    <w:rsid w:val="001A0FD1"/>
    <w:rsid w:val="001A10EB"/>
    <w:rsid w:val="001A1132"/>
    <w:rsid w:val="001A11C7"/>
    <w:rsid w:val="001A1D84"/>
    <w:rsid w:val="001A1DBB"/>
    <w:rsid w:val="001A2975"/>
    <w:rsid w:val="001A299E"/>
    <w:rsid w:val="001A3191"/>
    <w:rsid w:val="001A38DD"/>
    <w:rsid w:val="001A42AE"/>
    <w:rsid w:val="001A484C"/>
    <w:rsid w:val="001A4B9C"/>
    <w:rsid w:val="001A4F3D"/>
    <w:rsid w:val="001A58B3"/>
    <w:rsid w:val="001A5AFC"/>
    <w:rsid w:val="001A5D8F"/>
    <w:rsid w:val="001A5E5D"/>
    <w:rsid w:val="001A65DE"/>
    <w:rsid w:val="001A6A13"/>
    <w:rsid w:val="001A7045"/>
    <w:rsid w:val="001A72B1"/>
    <w:rsid w:val="001A73D7"/>
    <w:rsid w:val="001A7650"/>
    <w:rsid w:val="001A7819"/>
    <w:rsid w:val="001A7EFC"/>
    <w:rsid w:val="001B02C9"/>
    <w:rsid w:val="001B0549"/>
    <w:rsid w:val="001B0878"/>
    <w:rsid w:val="001B0916"/>
    <w:rsid w:val="001B0B44"/>
    <w:rsid w:val="001B0DEF"/>
    <w:rsid w:val="001B0EA9"/>
    <w:rsid w:val="001B1238"/>
    <w:rsid w:val="001B1C96"/>
    <w:rsid w:val="001B1D0A"/>
    <w:rsid w:val="001B2C19"/>
    <w:rsid w:val="001B2D16"/>
    <w:rsid w:val="001B4026"/>
    <w:rsid w:val="001B4263"/>
    <w:rsid w:val="001B46E1"/>
    <w:rsid w:val="001B554D"/>
    <w:rsid w:val="001B5583"/>
    <w:rsid w:val="001B5599"/>
    <w:rsid w:val="001B66AA"/>
    <w:rsid w:val="001B69E9"/>
    <w:rsid w:val="001B6E89"/>
    <w:rsid w:val="001B7013"/>
    <w:rsid w:val="001B7460"/>
    <w:rsid w:val="001B7551"/>
    <w:rsid w:val="001B7BC6"/>
    <w:rsid w:val="001B7DCA"/>
    <w:rsid w:val="001B7ED2"/>
    <w:rsid w:val="001C0718"/>
    <w:rsid w:val="001C11B4"/>
    <w:rsid w:val="001C12C4"/>
    <w:rsid w:val="001C15C1"/>
    <w:rsid w:val="001C16D1"/>
    <w:rsid w:val="001C1703"/>
    <w:rsid w:val="001C17DF"/>
    <w:rsid w:val="001C189C"/>
    <w:rsid w:val="001C191F"/>
    <w:rsid w:val="001C1A2A"/>
    <w:rsid w:val="001C1BA5"/>
    <w:rsid w:val="001C1CC1"/>
    <w:rsid w:val="001C2139"/>
    <w:rsid w:val="001C2345"/>
    <w:rsid w:val="001C2547"/>
    <w:rsid w:val="001C275F"/>
    <w:rsid w:val="001C2779"/>
    <w:rsid w:val="001C33C4"/>
    <w:rsid w:val="001C3644"/>
    <w:rsid w:val="001C3867"/>
    <w:rsid w:val="001C3DA3"/>
    <w:rsid w:val="001C4678"/>
    <w:rsid w:val="001C46E3"/>
    <w:rsid w:val="001C4D0D"/>
    <w:rsid w:val="001C4D34"/>
    <w:rsid w:val="001C4E05"/>
    <w:rsid w:val="001C506B"/>
    <w:rsid w:val="001C5266"/>
    <w:rsid w:val="001C569F"/>
    <w:rsid w:val="001C5783"/>
    <w:rsid w:val="001C5A09"/>
    <w:rsid w:val="001C5B1F"/>
    <w:rsid w:val="001C623D"/>
    <w:rsid w:val="001C632F"/>
    <w:rsid w:val="001C6680"/>
    <w:rsid w:val="001C66D6"/>
    <w:rsid w:val="001C674B"/>
    <w:rsid w:val="001C680F"/>
    <w:rsid w:val="001C75A5"/>
    <w:rsid w:val="001C7757"/>
    <w:rsid w:val="001C78E5"/>
    <w:rsid w:val="001C795C"/>
    <w:rsid w:val="001C7D98"/>
    <w:rsid w:val="001C7E0D"/>
    <w:rsid w:val="001C7ED4"/>
    <w:rsid w:val="001C7F6F"/>
    <w:rsid w:val="001D13F7"/>
    <w:rsid w:val="001D1637"/>
    <w:rsid w:val="001D18BF"/>
    <w:rsid w:val="001D19F9"/>
    <w:rsid w:val="001D1E61"/>
    <w:rsid w:val="001D1FB6"/>
    <w:rsid w:val="001D23ED"/>
    <w:rsid w:val="001D2431"/>
    <w:rsid w:val="001D26AB"/>
    <w:rsid w:val="001D29CD"/>
    <w:rsid w:val="001D2AD3"/>
    <w:rsid w:val="001D2D27"/>
    <w:rsid w:val="001D2DB3"/>
    <w:rsid w:val="001D3F70"/>
    <w:rsid w:val="001D3F88"/>
    <w:rsid w:val="001D3FFD"/>
    <w:rsid w:val="001D40A0"/>
    <w:rsid w:val="001D43D8"/>
    <w:rsid w:val="001D47CA"/>
    <w:rsid w:val="001D4873"/>
    <w:rsid w:val="001D48A7"/>
    <w:rsid w:val="001D4BCC"/>
    <w:rsid w:val="001D4C2B"/>
    <w:rsid w:val="001D4C67"/>
    <w:rsid w:val="001D4EAB"/>
    <w:rsid w:val="001D4ECD"/>
    <w:rsid w:val="001D50EE"/>
    <w:rsid w:val="001D523C"/>
    <w:rsid w:val="001D5597"/>
    <w:rsid w:val="001D5A3B"/>
    <w:rsid w:val="001D5A4B"/>
    <w:rsid w:val="001D5A6C"/>
    <w:rsid w:val="001D5C89"/>
    <w:rsid w:val="001D5E01"/>
    <w:rsid w:val="001D61D4"/>
    <w:rsid w:val="001D63C2"/>
    <w:rsid w:val="001D64FA"/>
    <w:rsid w:val="001D6599"/>
    <w:rsid w:val="001D671C"/>
    <w:rsid w:val="001D6FF4"/>
    <w:rsid w:val="001D73E0"/>
    <w:rsid w:val="001D784A"/>
    <w:rsid w:val="001D78B0"/>
    <w:rsid w:val="001D7CDC"/>
    <w:rsid w:val="001E08A8"/>
    <w:rsid w:val="001E0ED4"/>
    <w:rsid w:val="001E16B9"/>
    <w:rsid w:val="001E18FE"/>
    <w:rsid w:val="001E1BC5"/>
    <w:rsid w:val="001E1E36"/>
    <w:rsid w:val="001E1F2A"/>
    <w:rsid w:val="001E22D7"/>
    <w:rsid w:val="001E2D5A"/>
    <w:rsid w:val="001E2F2D"/>
    <w:rsid w:val="001E2F69"/>
    <w:rsid w:val="001E2FD3"/>
    <w:rsid w:val="001E3846"/>
    <w:rsid w:val="001E395A"/>
    <w:rsid w:val="001E395B"/>
    <w:rsid w:val="001E3F32"/>
    <w:rsid w:val="001E3F3E"/>
    <w:rsid w:val="001E4085"/>
    <w:rsid w:val="001E486B"/>
    <w:rsid w:val="001E48EB"/>
    <w:rsid w:val="001E4F76"/>
    <w:rsid w:val="001E5061"/>
    <w:rsid w:val="001E55A6"/>
    <w:rsid w:val="001E5694"/>
    <w:rsid w:val="001E5D1C"/>
    <w:rsid w:val="001E61B5"/>
    <w:rsid w:val="001E6562"/>
    <w:rsid w:val="001E6C42"/>
    <w:rsid w:val="001E6CDF"/>
    <w:rsid w:val="001E7317"/>
    <w:rsid w:val="001E7418"/>
    <w:rsid w:val="001E7B74"/>
    <w:rsid w:val="001E7BBA"/>
    <w:rsid w:val="001E7E24"/>
    <w:rsid w:val="001F0611"/>
    <w:rsid w:val="001F071C"/>
    <w:rsid w:val="001F0A76"/>
    <w:rsid w:val="001F0CA9"/>
    <w:rsid w:val="001F12CA"/>
    <w:rsid w:val="001F1481"/>
    <w:rsid w:val="001F1984"/>
    <w:rsid w:val="001F1A57"/>
    <w:rsid w:val="001F1AE4"/>
    <w:rsid w:val="001F1B40"/>
    <w:rsid w:val="001F1D10"/>
    <w:rsid w:val="001F1D87"/>
    <w:rsid w:val="001F1DE9"/>
    <w:rsid w:val="001F2364"/>
    <w:rsid w:val="001F249C"/>
    <w:rsid w:val="001F2E45"/>
    <w:rsid w:val="001F328E"/>
    <w:rsid w:val="001F3C7C"/>
    <w:rsid w:val="001F4B63"/>
    <w:rsid w:val="001F4EC7"/>
    <w:rsid w:val="001F4F9C"/>
    <w:rsid w:val="001F51B7"/>
    <w:rsid w:val="001F523D"/>
    <w:rsid w:val="001F5549"/>
    <w:rsid w:val="001F5AF0"/>
    <w:rsid w:val="001F5C1B"/>
    <w:rsid w:val="001F5E91"/>
    <w:rsid w:val="001F6317"/>
    <w:rsid w:val="001F63C8"/>
    <w:rsid w:val="001F68A8"/>
    <w:rsid w:val="001F692F"/>
    <w:rsid w:val="001F6E95"/>
    <w:rsid w:val="001F6FC3"/>
    <w:rsid w:val="001F7544"/>
    <w:rsid w:val="001F755D"/>
    <w:rsid w:val="001F77CC"/>
    <w:rsid w:val="00200750"/>
    <w:rsid w:val="002008D4"/>
    <w:rsid w:val="00200D7F"/>
    <w:rsid w:val="00201053"/>
    <w:rsid w:val="0020127D"/>
    <w:rsid w:val="0020184E"/>
    <w:rsid w:val="00201F25"/>
    <w:rsid w:val="00201F46"/>
    <w:rsid w:val="0020200C"/>
    <w:rsid w:val="002028D7"/>
    <w:rsid w:val="00202A5F"/>
    <w:rsid w:val="00203052"/>
    <w:rsid w:val="00203168"/>
    <w:rsid w:val="00203BA3"/>
    <w:rsid w:val="00203F5B"/>
    <w:rsid w:val="00204F79"/>
    <w:rsid w:val="00205CDA"/>
    <w:rsid w:val="00205EE9"/>
    <w:rsid w:val="0020618F"/>
    <w:rsid w:val="002061D7"/>
    <w:rsid w:val="002064C1"/>
    <w:rsid w:val="00206C06"/>
    <w:rsid w:val="00206E94"/>
    <w:rsid w:val="00206F67"/>
    <w:rsid w:val="00207913"/>
    <w:rsid w:val="00207BCD"/>
    <w:rsid w:val="00207E0D"/>
    <w:rsid w:val="002109F8"/>
    <w:rsid w:val="00210BBA"/>
    <w:rsid w:val="00210BCF"/>
    <w:rsid w:val="00210C76"/>
    <w:rsid w:val="00210DEC"/>
    <w:rsid w:val="00211085"/>
    <w:rsid w:val="002110D5"/>
    <w:rsid w:val="0021138E"/>
    <w:rsid w:val="0021170D"/>
    <w:rsid w:val="0021189A"/>
    <w:rsid w:val="002118E5"/>
    <w:rsid w:val="00211918"/>
    <w:rsid w:val="00211B6C"/>
    <w:rsid w:val="0021203E"/>
    <w:rsid w:val="002123BF"/>
    <w:rsid w:val="0021263C"/>
    <w:rsid w:val="00212667"/>
    <w:rsid w:val="002127E2"/>
    <w:rsid w:val="00212988"/>
    <w:rsid w:val="00213578"/>
    <w:rsid w:val="002136CC"/>
    <w:rsid w:val="0021390F"/>
    <w:rsid w:val="00213D68"/>
    <w:rsid w:val="002144EA"/>
    <w:rsid w:val="00214A4A"/>
    <w:rsid w:val="00215314"/>
    <w:rsid w:val="0021573D"/>
    <w:rsid w:val="00215DAB"/>
    <w:rsid w:val="00215E7C"/>
    <w:rsid w:val="00216019"/>
    <w:rsid w:val="00216037"/>
    <w:rsid w:val="00216693"/>
    <w:rsid w:val="00216C73"/>
    <w:rsid w:val="00216D09"/>
    <w:rsid w:val="00216E5D"/>
    <w:rsid w:val="00216FA0"/>
    <w:rsid w:val="00217496"/>
    <w:rsid w:val="002176A6"/>
    <w:rsid w:val="002176F9"/>
    <w:rsid w:val="002177B7"/>
    <w:rsid w:val="002177DE"/>
    <w:rsid w:val="0021782A"/>
    <w:rsid w:val="00217884"/>
    <w:rsid w:val="00217F11"/>
    <w:rsid w:val="00220541"/>
    <w:rsid w:val="0022054D"/>
    <w:rsid w:val="00220986"/>
    <w:rsid w:val="00220DC3"/>
    <w:rsid w:val="00221342"/>
    <w:rsid w:val="00221438"/>
    <w:rsid w:val="002217DF"/>
    <w:rsid w:val="00221C31"/>
    <w:rsid w:val="00222212"/>
    <w:rsid w:val="002222AB"/>
    <w:rsid w:val="00222449"/>
    <w:rsid w:val="00222459"/>
    <w:rsid w:val="00222525"/>
    <w:rsid w:val="0022287B"/>
    <w:rsid w:val="002229F6"/>
    <w:rsid w:val="00222E6E"/>
    <w:rsid w:val="002230F1"/>
    <w:rsid w:val="002232E3"/>
    <w:rsid w:val="00223676"/>
    <w:rsid w:val="002236F6"/>
    <w:rsid w:val="0022370B"/>
    <w:rsid w:val="00223ABC"/>
    <w:rsid w:val="00223C66"/>
    <w:rsid w:val="00223C76"/>
    <w:rsid w:val="00223D00"/>
    <w:rsid w:val="0022430A"/>
    <w:rsid w:val="00224328"/>
    <w:rsid w:val="00224554"/>
    <w:rsid w:val="00224ADB"/>
    <w:rsid w:val="00224DDA"/>
    <w:rsid w:val="00224FFA"/>
    <w:rsid w:val="00225359"/>
    <w:rsid w:val="00225AE9"/>
    <w:rsid w:val="002263DD"/>
    <w:rsid w:val="002264A7"/>
    <w:rsid w:val="0022658B"/>
    <w:rsid w:val="00226893"/>
    <w:rsid w:val="00226A4A"/>
    <w:rsid w:val="00227017"/>
    <w:rsid w:val="00227E9B"/>
    <w:rsid w:val="002304DE"/>
    <w:rsid w:val="00230584"/>
    <w:rsid w:val="00230A3A"/>
    <w:rsid w:val="00230BAD"/>
    <w:rsid w:val="00230CD9"/>
    <w:rsid w:val="002312F3"/>
    <w:rsid w:val="00231370"/>
    <w:rsid w:val="00231472"/>
    <w:rsid w:val="002314F0"/>
    <w:rsid w:val="00231654"/>
    <w:rsid w:val="002319C0"/>
    <w:rsid w:val="002321BA"/>
    <w:rsid w:val="00232A99"/>
    <w:rsid w:val="00232DB5"/>
    <w:rsid w:val="00233592"/>
    <w:rsid w:val="00233597"/>
    <w:rsid w:val="002335D1"/>
    <w:rsid w:val="00233BB5"/>
    <w:rsid w:val="00233EC9"/>
    <w:rsid w:val="00234481"/>
    <w:rsid w:val="00234635"/>
    <w:rsid w:val="00234BAD"/>
    <w:rsid w:val="00234F8E"/>
    <w:rsid w:val="002350B5"/>
    <w:rsid w:val="00235543"/>
    <w:rsid w:val="00235682"/>
    <w:rsid w:val="00235B98"/>
    <w:rsid w:val="00236407"/>
    <w:rsid w:val="0023671D"/>
    <w:rsid w:val="002367D9"/>
    <w:rsid w:val="00236C11"/>
    <w:rsid w:val="002370E6"/>
    <w:rsid w:val="0023730A"/>
    <w:rsid w:val="00237321"/>
    <w:rsid w:val="00237F6C"/>
    <w:rsid w:val="002403F1"/>
    <w:rsid w:val="00240F5E"/>
    <w:rsid w:val="002410A4"/>
    <w:rsid w:val="002416DF"/>
    <w:rsid w:val="00241741"/>
    <w:rsid w:val="002417F4"/>
    <w:rsid w:val="00241C98"/>
    <w:rsid w:val="00241E73"/>
    <w:rsid w:val="00242227"/>
    <w:rsid w:val="00242A5A"/>
    <w:rsid w:val="00242ADE"/>
    <w:rsid w:val="00242F6E"/>
    <w:rsid w:val="0024322C"/>
    <w:rsid w:val="002434B7"/>
    <w:rsid w:val="00244065"/>
    <w:rsid w:val="0024407D"/>
    <w:rsid w:val="00244413"/>
    <w:rsid w:val="00244AFC"/>
    <w:rsid w:val="00244BC7"/>
    <w:rsid w:val="00244D19"/>
    <w:rsid w:val="00245478"/>
    <w:rsid w:val="00245660"/>
    <w:rsid w:val="002456F0"/>
    <w:rsid w:val="00245E1F"/>
    <w:rsid w:val="002461E0"/>
    <w:rsid w:val="00246321"/>
    <w:rsid w:val="0024638E"/>
    <w:rsid w:val="00246503"/>
    <w:rsid w:val="00246A58"/>
    <w:rsid w:val="00246EAA"/>
    <w:rsid w:val="00246F4F"/>
    <w:rsid w:val="0024706B"/>
    <w:rsid w:val="0024717F"/>
    <w:rsid w:val="00247288"/>
    <w:rsid w:val="00247345"/>
    <w:rsid w:val="00247980"/>
    <w:rsid w:val="00247C52"/>
    <w:rsid w:val="00247DE0"/>
    <w:rsid w:val="00247F9D"/>
    <w:rsid w:val="002500A1"/>
    <w:rsid w:val="002504E0"/>
    <w:rsid w:val="00250720"/>
    <w:rsid w:val="00250B15"/>
    <w:rsid w:val="00250D02"/>
    <w:rsid w:val="00250EAB"/>
    <w:rsid w:val="00250FA8"/>
    <w:rsid w:val="002510FD"/>
    <w:rsid w:val="0025135E"/>
    <w:rsid w:val="00252074"/>
    <w:rsid w:val="00252154"/>
    <w:rsid w:val="00252340"/>
    <w:rsid w:val="00252417"/>
    <w:rsid w:val="00252B64"/>
    <w:rsid w:val="00252DE4"/>
    <w:rsid w:val="002530E4"/>
    <w:rsid w:val="002537CF"/>
    <w:rsid w:val="0025380B"/>
    <w:rsid w:val="00253FFC"/>
    <w:rsid w:val="00254ACC"/>
    <w:rsid w:val="00254AD9"/>
    <w:rsid w:val="00255355"/>
    <w:rsid w:val="002559C6"/>
    <w:rsid w:val="00255B66"/>
    <w:rsid w:val="00255F56"/>
    <w:rsid w:val="0025733F"/>
    <w:rsid w:val="002576C6"/>
    <w:rsid w:val="002578CE"/>
    <w:rsid w:val="00257B5E"/>
    <w:rsid w:val="00257D40"/>
    <w:rsid w:val="002603F0"/>
    <w:rsid w:val="00260666"/>
    <w:rsid w:val="002607D3"/>
    <w:rsid w:val="002607DD"/>
    <w:rsid w:val="0026080D"/>
    <w:rsid w:val="00261B86"/>
    <w:rsid w:val="002622E9"/>
    <w:rsid w:val="002624A8"/>
    <w:rsid w:val="0026275A"/>
    <w:rsid w:val="0026298A"/>
    <w:rsid w:val="00263074"/>
    <w:rsid w:val="00263099"/>
    <w:rsid w:val="002630B9"/>
    <w:rsid w:val="002633F1"/>
    <w:rsid w:val="002639F7"/>
    <w:rsid w:val="002641EE"/>
    <w:rsid w:val="00264443"/>
    <w:rsid w:val="002644F8"/>
    <w:rsid w:val="00264706"/>
    <w:rsid w:val="00264A6E"/>
    <w:rsid w:val="00264DBE"/>
    <w:rsid w:val="002650BD"/>
    <w:rsid w:val="00265540"/>
    <w:rsid w:val="002659D1"/>
    <w:rsid w:val="002660BB"/>
    <w:rsid w:val="00266171"/>
    <w:rsid w:val="00266179"/>
    <w:rsid w:val="002665F9"/>
    <w:rsid w:val="0026674E"/>
    <w:rsid w:val="002667F1"/>
    <w:rsid w:val="00266A09"/>
    <w:rsid w:val="00267272"/>
    <w:rsid w:val="002674EA"/>
    <w:rsid w:val="00267703"/>
    <w:rsid w:val="00270106"/>
    <w:rsid w:val="00270335"/>
    <w:rsid w:val="00270EFB"/>
    <w:rsid w:val="00270FD5"/>
    <w:rsid w:val="00271738"/>
    <w:rsid w:val="002719F5"/>
    <w:rsid w:val="00271A21"/>
    <w:rsid w:val="00271C6D"/>
    <w:rsid w:val="002722CF"/>
    <w:rsid w:val="00272315"/>
    <w:rsid w:val="00272359"/>
    <w:rsid w:val="00272574"/>
    <w:rsid w:val="00272630"/>
    <w:rsid w:val="00272994"/>
    <w:rsid w:val="00272995"/>
    <w:rsid w:val="00272D0D"/>
    <w:rsid w:val="00272EAC"/>
    <w:rsid w:val="00273021"/>
    <w:rsid w:val="0027336C"/>
    <w:rsid w:val="00273627"/>
    <w:rsid w:val="002736A3"/>
    <w:rsid w:val="00273B04"/>
    <w:rsid w:val="00273F6D"/>
    <w:rsid w:val="00274095"/>
    <w:rsid w:val="002740E2"/>
    <w:rsid w:val="00274298"/>
    <w:rsid w:val="00274D3A"/>
    <w:rsid w:val="00274D6C"/>
    <w:rsid w:val="00275146"/>
    <w:rsid w:val="0027556E"/>
    <w:rsid w:val="00275D44"/>
    <w:rsid w:val="00276048"/>
    <w:rsid w:val="0027618B"/>
    <w:rsid w:val="002761BC"/>
    <w:rsid w:val="00276690"/>
    <w:rsid w:val="002767FB"/>
    <w:rsid w:val="00276811"/>
    <w:rsid w:val="002771F4"/>
    <w:rsid w:val="00277AA8"/>
    <w:rsid w:val="00277DAB"/>
    <w:rsid w:val="00280016"/>
    <w:rsid w:val="00280375"/>
    <w:rsid w:val="002803FF"/>
    <w:rsid w:val="00280777"/>
    <w:rsid w:val="00280ABD"/>
    <w:rsid w:val="00280C66"/>
    <w:rsid w:val="00280F7D"/>
    <w:rsid w:val="00281339"/>
    <w:rsid w:val="0028159D"/>
    <w:rsid w:val="00281973"/>
    <w:rsid w:val="00281C46"/>
    <w:rsid w:val="00282144"/>
    <w:rsid w:val="00282356"/>
    <w:rsid w:val="0028249D"/>
    <w:rsid w:val="00282764"/>
    <w:rsid w:val="0028276F"/>
    <w:rsid w:val="002829C9"/>
    <w:rsid w:val="00282EDF"/>
    <w:rsid w:val="002830F2"/>
    <w:rsid w:val="00283532"/>
    <w:rsid w:val="002835A8"/>
    <w:rsid w:val="002837F0"/>
    <w:rsid w:val="00283B41"/>
    <w:rsid w:val="00283E16"/>
    <w:rsid w:val="002840C2"/>
    <w:rsid w:val="002859F9"/>
    <w:rsid w:val="00285F44"/>
    <w:rsid w:val="00286042"/>
    <w:rsid w:val="00286B28"/>
    <w:rsid w:val="002873C4"/>
    <w:rsid w:val="00287EDA"/>
    <w:rsid w:val="00290252"/>
    <w:rsid w:val="00290394"/>
    <w:rsid w:val="0029045E"/>
    <w:rsid w:val="00290516"/>
    <w:rsid w:val="00290534"/>
    <w:rsid w:val="00290E3D"/>
    <w:rsid w:val="00290FCE"/>
    <w:rsid w:val="00291171"/>
    <w:rsid w:val="002914DB"/>
    <w:rsid w:val="00291524"/>
    <w:rsid w:val="00291848"/>
    <w:rsid w:val="00291980"/>
    <w:rsid w:val="0029262D"/>
    <w:rsid w:val="002926C9"/>
    <w:rsid w:val="002928EC"/>
    <w:rsid w:val="00292B68"/>
    <w:rsid w:val="00292D99"/>
    <w:rsid w:val="00293733"/>
    <w:rsid w:val="00293D04"/>
    <w:rsid w:val="00293EBC"/>
    <w:rsid w:val="002942CD"/>
    <w:rsid w:val="00294781"/>
    <w:rsid w:val="002947A1"/>
    <w:rsid w:val="00295024"/>
    <w:rsid w:val="0029526D"/>
    <w:rsid w:val="002952DF"/>
    <w:rsid w:val="00295504"/>
    <w:rsid w:val="002957B8"/>
    <w:rsid w:val="00295915"/>
    <w:rsid w:val="002961C8"/>
    <w:rsid w:val="00296548"/>
    <w:rsid w:val="002969E3"/>
    <w:rsid w:val="00296D23"/>
    <w:rsid w:val="00296EF3"/>
    <w:rsid w:val="00297517"/>
    <w:rsid w:val="002975FF"/>
    <w:rsid w:val="002979E0"/>
    <w:rsid w:val="00297F0D"/>
    <w:rsid w:val="002A012E"/>
    <w:rsid w:val="002A0341"/>
    <w:rsid w:val="002A0349"/>
    <w:rsid w:val="002A0455"/>
    <w:rsid w:val="002A05F3"/>
    <w:rsid w:val="002A073F"/>
    <w:rsid w:val="002A08D4"/>
    <w:rsid w:val="002A0C6B"/>
    <w:rsid w:val="002A0F09"/>
    <w:rsid w:val="002A11BC"/>
    <w:rsid w:val="002A17F5"/>
    <w:rsid w:val="002A1B09"/>
    <w:rsid w:val="002A21C2"/>
    <w:rsid w:val="002A2490"/>
    <w:rsid w:val="002A26FB"/>
    <w:rsid w:val="002A32F7"/>
    <w:rsid w:val="002A3842"/>
    <w:rsid w:val="002A3B09"/>
    <w:rsid w:val="002A3D19"/>
    <w:rsid w:val="002A3F7A"/>
    <w:rsid w:val="002A41B8"/>
    <w:rsid w:val="002A4671"/>
    <w:rsid w:val="002A4A92"/>
    <w:rsid w:val="002A4B0C"/>
    <w:rsid w:val="002A4B17"/>
    <w:rsid w:val="002A5009"/>
    <w:rsid w:val="002A527B"/>
    <w:rsid w:val="002A52A9"/>
    <w:rsid w:val="002A56B6"/>
    <w:rsid w:val="002A5ACB"/>
    <w:rsid w:val="002A5B57"/>
    <w:rsid w:val="002A5C02"/>
    <w:rsid w:val="002A5F40"/>
    <w:rsid w:val="002A6431"/>
    <w:rsid w:val="002A6CF6"/>
    <w:rsid w:val="002A6E59"/>
    <w:rsid w:val="002A76D6"/>
    <w:rsid w:val="002A7E5F"/>
    <w:rsid w:val="002A7EA6"/>
    <w:rsid w:val="002B0199"/>
    <w:rsid w:val="002B04A9"/>
    <w:rsid w:val="002B09BE"/>
    <w:rsid w:val="002B0A36"/>
    <w:rsid w:val="002B19EA"/>
    <w:rsid w:val="002B1CB7"/>
    <w:rsid w:val="002B1E27"/>
    <w:rsid w:val="002B1FF1"/>
    <w:rsid w:val="002B2025"/>
    <w:rsid w:val="002B20B4"/>
    <w:rsid w:val="002B221A"/>
    <w:rsid w:val="002B27D3"/>
    <w:rsid w:val="002B2887"/>
    <w:rsid w:val="002B2936"/>
    <w:rsid w:val="002B2E72"/>
    <w:rsid w:val="002B313F"/>
    <w:rsid w:val="002B31DE"/>
    <w:rsid w:val="002B3594"/>
    <w:rsid w:val="002B37AF"/>
    <w:rsid w:val="002B394A"/>
    <w:rsid w:val="002B3A3A"/>
    <w:rsid w:val="002B3BFF"/>
    <w:rsid w:val="002B3F5D"/>
    <w:rsid w:val="002B41E2"/>
    <w:rsid w:val="002B4520"/>
    <w:rsid w:val="002B46A5"/>
    <w:rsid w:val="002B47BA"/>
    <w:rsid w:val="002B4832"/>
    <w:rsid w:val="002B4C33"/>
    <w:rsid w:val="002B4C97"/>
    <w:rsid w:val="002B4E06"/>
    <w:rsid w:val="002B4E1F"/>
    <w:rsid w:val="002B4E2E"/>
    <w:rsid w:val="002B58A7"/>
    <w:rsid w:val="002B5B23"/>
    <w:rsid w:val="002B5E9C"/>
    <w:rsid w:val="002B60E6"/>
    <w:rsid w:val="002B6944"/>
    <w:rsid w:val="002B6BB5"/>
    <w:rsid w:val="002B6C4F"/>
    <w:rsid w:val="002B6CF3"/>
    <w:rsid w:val="002B6FB8"/>
    <w:rsid w:val="002B762E"/>
    <w:rsid w:val="002B7680"/>
    <w:rsid w:val="002B7691"/>
    <w:rsid w:val="002B769A"/>
    <w:rsid w:val="002B7942"/>
    <w:rsid w:val="002B7ACD"/>
    <w:rsid w:val="002B7C44"/>
    <w:rsid w:val="002C0211"/>
    <w:rsid w:val="002C0525"/>
    <w:rsid w:val="002C07D1"/>
    <w:rsid w:val="002C083C"/>
    <w:rsid w:val="002C0EA3"/>
    <w:rsid w:val="002C1342"/>
    <w:rsid w:val="002C1696"/>
    <w:rsid w:val="002C1981"/>
    <w:rsid w:val="002C19CC"/>
    <w:rsid w:val="002C1DE3"/>
    <w:rsid w:val="002C211E"/>
    <w:rsid w:val="002C286B"/>
    <w:rsid w:val="002C3866"/>
    <w:rsid w:val="002C3C60"/>
    <w:rsid w:val="002C427B"/>
    <w:rsid w:val="002C432B"/>
    <w:rsid w:val="002C44E2"/>
    <w:rsid w:val="002C4B39"/>
    <w:rsid w:val="002C5C67"/>
    <w:rsid w:val="002C632A"/>
    <w:rsid w:val="002C702A"/>
    <w:rsid w:val="002C7269"/>
    <w:rsid w:val="002C767E"/>
    <w:rsid w:val="002C7A48"/>
    <w:rsid w:val="002C7E3E"/>
    <w:rsid w:val="002D0015"/>
    <w:rsid w:val="002D011C"/>
    <w:rsid w:val="002D04DF"/>
    <w:rsid w:val="002D072C"/>
    <w:rsid w:val="002D0744"/>
    <w:rsid w:val="002D07A2"/>
    <w:rsid w:val="002D08FD"/>
    <w:rsid w:val="002D09F3"/>
    <w:rsid w:val="002D0AFF"/>
    <w:rsid w:val="002D0F78"/>
    <w:rsid w:val="002D1120"/>
    <w:rsid w:val="002D18D5"/>
    <w:rsid w:val="002D18F3"/>
    <w:rsid w:val="002D1BC8"/>
    <w:rsid w:val="002D2063"/>
    <w:rsid w:val="002D26D5"/>
    <w:rsid w:val="002D26F4"/>
    <w:rsid w:val="002D282A"/>
    <w:rsid w:val="002D2B19"/>
    <w:rsid w:val="002D2D5D"/>
    <w:rsid w:val="002D30B2"/>
    <w:rsid w:val="002D340C"/>
    <w:rsid w:val="002D37C1"/>
    <w:rsid w:val="002D47FA"/>
    <w:rsid w:val="002D4A9E"/>
    <w:rsid w:val="002D4DA9"/>
    <w:rsid w:val="002D4E89"/>
    <w:rsid w:val="002D4F62"/>
    <w:rsid w:val="002D4FA9"/>
    <w:rsid w:val="002D503E"/>
    <w:rsid w:val="002D57FC"/>
    <w:rsid w:val="002D5ABB"/>
    <w:rsid w:val="002D5BD9"/>
    <w:rsid w:val="002D5DF5"/>
    <w:rsid w:val="002D5E68"/>
    <w:rsid w:val="002D5E81"/>
    <w:rsid w:val="002D6067"/>
    <w:rsid w:val="002D6929"/>
    <w:rsid w:val="002D6A3A"/>
    <w:rsid w:val="002D743C"/>
    <w:rsid w:val="002D76C9"/>
    <w:rsid w:val="002D782E"/>
    <w:rsid w:val="002D7876"/>
    <w:rsid w:val="002D7A96"/>
    <w:rsid w:val="002D7B6B"/>
    <w:rsid w:val="002E0268"/>
    <w:rsid w:val="002E0B9B"/>
    <w:rsid w:val="002E0BBE"/>
    <w:rsid w:val="002E1007"/>
    <w:rsid w:val="002E1096"/>
    <w:rsid w:val="002E1175"/>
    <w:rsid w:val="002E12FB"/>
    <w:rsid w:val="002E16FD"/>
    <w:rsid w:val="002E18BF"/>
    <w:rsid w:val="002E1DDE"/>
    <w:rsid w:val="002E1FBB"/>
    <w:rsid w:val="002E23B9"/>
    <w:rsid w:val="002E2676"/>
    <w:rsid w:val="002E2873"/>
    <w:rsid w:val="002E2885"/>
    <w:rsid w:val="002E2961"/>
    <w:rsid w:val="002E2E4B"/>
    <w:rsid w:val="002E31A6"/>
    <w:rsid w:val="002E37CD"/>
    <w:rsid w:val="002E4EE2"/>
    <w:rsid w:val="002E594F"/>
    <w:rsid w:val="002E5B2A"/>
    <w:rsid w:val="002E61F7"/>
    <w:rsid w:val="002E625B"/>
    <w:rsid w:val="002E6478"/>
    <w:rsid w:val="002E65E4"/>
    <w:rsid w:val="002E6989"/>
    <w:rsid w:val="002E6C76"/>
    <w:rsid w:val="002E6D97"/>
    <w:rsid w:val="002E70EC"/>
    <w:rsid w:val="002E7271"/>
    <w:rsid w:val="002E73A0"/>
    <w:rsid w:val="002E7822"/>
    <w:rsid w:val="002E7BE3"/>
    <w:rsid w:val="002E7C8F"/>
    <w:rsid w:val="002E7D26"/>
    <w:rsid w:val="002F0B21"/>
    <w:rsid w:val="002F1253"/>
    <w:rsid w:val="002F1322"/>
    <w:rsid w:val="002F1986"/>
    <w:rsid w:val="002F1BF8"/>
    <w:rsid w:val="002F269D"/>
    <w:rsid w:val="002F2A21"/>
    <w:rsid w:val="002F2EAB"/>
    <w:rsid w:val="002F359B"/>
    <w:rsid w:val="002F3772"/>
    <w:rsid w:val="002F38F1"/>
    <w:rsid w:val="002F393F"/>
    <w:rsid w:val="002F3A9D"/>
    <w:rsid w:val="002F3AA5"/>
    <w:rsid w:val="002F3BDD"/>
    <w:rsid w:val="002F3CC1"/>
    <w:rsid w:val="002F3FB8"/>
    <w:rsid w:val="002F3FF8"/>
    <w:rsid w:val="002F40E8"/>
    <w:rsid w:val="002F4223"/>
    <w:rsid w:val="002F451B"/>
    <w:rsid w:val="002F455F"/>
    <w:rsid w:val="002F46F4"/>
    <w:rsid w:val="002F501F"/>
    <w:rsid w:val="002F52EC"/>
    <w:rsid w:val="002F537A"/>
    <w:rsid w:val="002F57B1"/>
    <w:rsid w:val="002F5B93"/>
    <w:rsid w:val="002F5F3F"/>
    <w:rsid w:val="002F5FAC"/>
    <w:rsid w:val="002F6269"/>
    <w:rsid w:val="002F6337"/>
    <w:rsid w:val="002F641A"/>
    <w:rsid w:val="002F6A03"/>
    <w:rsid w:val="002F6A98"/>
    <w:rsid w:val="002F6ADE"/>
    <w:rsid w:val="002F706C"/>
    <w:rsid w:val="002F7255"/>
    <w:rsid w:val="002F72D4"/>
    <w:rsid w:val="002F7378"/>
    <w:rsid w:val="002F7F94"/>
    <w:rsid w:val="003000AA"/>
    <w:rsid w:val="00300484"/>
    <w:rsid w:val="00300762"/>
    <w:rsid w:val="00300AC9"/>
    <w:rsid w:val="00300B02"/>
    <w:rsid w:val="00300DFC"/>
    <w:rsid w:val="00301126"/>
    <w:rsid w:val="00301222"/>
    <w:rsid w:val="003019D9"/>
    <w:rsid w:val="00301B49"/>
    <w:rsid w:val="00301E02"/>
    <w:rsid w:val="003023CA"/>
    <w:rsid w:val="003024C7"/>
    <w:rsid w:val="00302974"/>
    <w:rsid w:val="00302B17"/>
    <w:rsid w:val="00302B93"/>
    <w:rsid w:val="003033F5"/>
    <w:rsid w:val="00303827"/>
    <w:rsid w:val="00303883"/>
    <w:rsid w:val="00303C27"/>
    <w:rsid w:val="00303E16"/>
    <w:rsid w:val="00304E10"/>
    <w:rsid w:val="00305530"/>
    <w:rsid w:val="00305538"/>
    <w:rsid w:val="00305749"/>
    <w:rsid w:val="003058FA"/>
    <w:rsid w:val="00305935"/>
    <w:rsid w:val="00305E41"/>
    <w:rsid w:val="00305F25"/>
    <w:rsid w:val="0030645C"/>
    <w:rsid w:val="00306AA3"/>
    <w:rsid w:val="00306B0B"/>
    <w:rsid w:val="00307354"/>
    <w:rsid w:val="00307687"/>
    <w:rsid w:val="003078D5"/>
    <w:rsid w:val="00307909"/>
    <w:rsid w:val="003079AC"/>
    <w:rsid w:val="00307B82"/>
    <w:rsid w:val="0031043D"/>
    <w:rsid w:val="003107F2"/>
    <w:rsid w:val="00310FC2"/>
    <w:rsid w:val="00310FCD"/>
    <w:rsid w:val="00311436"/>
    <w:rsid w:val="00311857"/>
    <w:rsid w:val="00311879"/>
    <w:rsid w:val="00311AB2"/>
    <w:rsid w:val="00311D89"/>
    <w:rsid w:val="0031213A"/>
    <w:rsid w:val="003121B8"/>
    <w:rsid w:val="00312469"/>
    <w:rsid w:val="003124A5"/>
    <w:rsid w:val="0031252E"/>
    <w:rsid w:val="003128B2"/>
    <w:rsid w:val="00312CDB"/>
    <w:rsid w:val="0031329F"/>
    <w:rsid w:val="00313455"/>
    <w:rsid w:val="003139F0"/>
    <w:rsid w:val="00313A37"/>
    <w:rsid w:val="00313DFD"/>
    <w:rsid w:val="00313E71"/>
    <w:rsid w:val="00314167"/>
    <w:rsid w:val="003141DC"/>
    <w:rsid w:val="00314268"/>
    <w:rsid w:val="003142FD"/>
    <w:rsid w:val="0031482B"/>
    <w:rsid w:val="00314D22"/>
    <w:rsid w:val="00315094"/>
    <w:rsid w:val="00315AA1"/>
    <w:rsid w:val="00316595"/>
    <w:rsid w:val="00316655"/>
    <w:rsid w:val="00316EE4"/>
    <w:rsid w:val="00317360"/>
    <w:rsid w:val="00317517"/>
    <w:rsid w:val="00317639"/>
    <w:rsid w:val="00317C42"/>
    <w:rsid w:val="00317C46"/>
    <w:rsid w:val="00317D0C"/>
    <w:rsid w:val="00320072"/>
    <w:rsid w:val="003201DA"/>
    <w:rsid w:val="003208AF"/>
    <w:rsid w:val="0032113A"/>
    <w:rsid w:val="00321211"/>
    <w:rsid w:val="00322636"/>
    <w:rsid w:val="00324267"/>
    <w:rsid w:val="00324640"/>
    <w:rsid w:val="003247D6"/>
    <w:rsid w:val="00324991"/>
    <w:rsid w:val="00324D9F"/>
    <w:rsid w:val="00324FEC"/>
    <w:rsid w:val="00325A2A"/>
    <w:rsid w:val="00326415"/>
    <w:rsid w:val="00326C77"/>
    <w:rsid w:val="00327314"/>
    <w:rsid w:val="00327653"/>
    <w:rsid w:val="003276B0"/>
    <w:rsid w:val="003278AA"/>
    <w:rsid w:val="00327A63"/>
    <w:rsid w:val="00330016"/>
    <w:rsid w:val="00330217"/>
    <w:rsid w:val="00330332"/>
    <w:rsid w:val="0033169C"/>
    <w:rsid w:val="00331C46"/>
    <w:rsid w:val="00331D9D"/>
    <w:rsid w:val="00332068"/>
    <w:rsid w:val="00332387"/>
    <w:rsid w:val="00332740"/>
    <w:rsid w:val="00332C2A"/>
    <w:rsid w:val="00332C9F"/>
    <w:rsid w:val="00332E3C"/>
    <w:rsid w:val="00332E9E"/>
    <w:rsid w:val="0033357C"/>
    <w:rsid w:val="00333A31"/>
    <w:rsid w:val="00333BD2"/>
    <w:rsid w:val="0033403D"/>
    <w:rsid w:val="00334516"/>
    <w:rsid w:val="00334802"/>
    <w:rsid w:val="00334B01"/>
    <w:rsid w:val="00334BB2"/>
    <w:rsid w:val="003351E1"/>
    <w:rsid w:val="00335425"/>
    <w:rsid w:val="00336097"/>
    <w:rsid w:val="00336296"/>
    <w:rsid w:val="003363E1"/>
    <w:rsid w:val="00336BFE"/>
    <w:rsid w:val="00336D34"/>
    <w:rsid w:val="00336E31"/>
    <w:rsid w:val="00336FA7"/>
    <w:rsid w:val="00337663"/>
    <w:rsid w:val="0033789B"/>
    <w:rsid w:val="00337A22"/>
    <w:rsid w:val="00337C0A"/>
    <w:rsid w:val="00337C17"/>
    <w:rsid w:val="00337CCB"/>
    <w:rsid w:val="00340090"/>
    <w:rsid w:val="003405C2"/>
    <w:rsid w:val="0034071C"/>
    <w:rsid w:val="00340CFE"/>
    <w:rsid w:val="00340FAF"/>
    <w:rsid w:val="00341363"/>
    <w:rsid w:val="003416B5"/>
    <w:rsid w:val="00341A45"/>
    <w:rsid w:val="00341C3C"/>
    <w:rsid w:val="003425DC"/>
    <w:rsid w:val="003426B4"/>
    <w:rsid w:val="003427AF"/>
    <w:rsid w:val="00342913"/>
    <w:rsid w:val="00342990"/>
    <w:rsid w:val="00342D3C"/>
    <w:rsid w:val="00342EAA"/>
    <w:rsid w:val="00342F32"/>
    <w:rsid w:val="00343087"/>
    <w:rsid w:val="00343114"/>
    <w:rsid w:val="00343144"/>
    <w:rsid w:val="0034330C"/>
    <w:rsid w:val="0034382E"/>
    <w:rsid w:val="00343E48"/>
    <w:rsid w:val="003441E4"/>
    <w:rsid w:val="00344289"/>
    <w:rsid w:val="003443FF"/>
    <w:rsid w:val="003445B1"/>
    <w:rsid w:val="00344679"/>
    <w:rsid w:val="00344981"/>
    <w:rsid w:val="00344A01"/>
    <w:rsid w:val="00344A6F"/>
    <w:rsid w:val="00344C88"/>
    <w:rsid w:val="00344CA5"/>
    <w:rsid w:val="00344EB3"/>
    <w:rsid w:val="00344F40"/>
    <w:rsid w:val="003456B2"/>
    <w:rsid w:val="003459AF"/>
    <w:rsid w:val="00345A4E"/>
    <w:rsid w:val="00345C6A"/>
    <w:rsid w:val="00345D55"/>
    <w:rsid w:val="0034620E"/>
    <w:rsid w:val="003462EA"/>
    <w:rsid w:val="003468C8"/>
    <w:rsid w:val="003469F0"/>
    <w:rsid w:val="00346CDD"/>
    <w:rsid w:val="00346D15"/>
    <w:rsid w:val="00346EB1"/>
    <w:rsid w:val="00346F69"/>
    <w:rsid w:val="00347141"/>
    <w:rsid w:val="00347A8E"/>
    <w:rsid w:val="003504A8"/>
    <w:rsid w:val="0035061A"/>
    <w:rsid w:val="00350970"/>
    <w:rsid w:val="00350988"/>
    <w:rsid w:val="00350B12"/>
    <w:rsid w:val="00350E5D"/>
    <w:rsid w:val="00350EC7"/>
    <w:rsid w:val="00350EF4"/>
    <w:rsid w:val="003519EB"/>
    <w:rsid w:val="003520C6"/>
    <w:rsid w:val="003523EE"/>
    <w:rsid w:val="00352875"/>
    <w:rsid w:val="00352AFC"/>
    <w:rsid w:val="00352C63"/>
    <w:rsid w:val="0035315D"/>
    <w:rsid w:val="003547FA"/>
    <w:rsid w:val="00354C6C"/>
    <w:rsid w:val="00354E08"/>
    <w:rsid w:val="00354EC4"/>
    <w:rsid w:val="003555CB"/>
    <w:rsid w:val="00355B48"/>
    <w:rsid w:val="00355FA5"/>
    <w:rsid w:val="003561FB"/>
    <w:rsid w:val="003562C6"/>
    <w:rsid w:val="00356702"/>
    <w:rsid w:val="00356FC2"/>
    <w:rsid w:val="00357027"/>
    <w:rsid w:val="003578B0"/>
    <w:rsid w:val="00357AFB"/>
    <w:rsid w:val="00357B04"/>
    <w:rsid w:val="00357E55"/>
    <w:rsid w:val="0036032C"/>
    <w:rsid w:val="00360915"/>
    <w:rsid w:val="00360BF3"/>
    <w:rsid w:val="00360FD9"/>
    <w:rsid w:val="003613BD"/>
    <w:rsid w:val="00361471"/>
    <w:rsid w:val="00361E23"/>
    <w:rsid w:val="0036293C"/>
    <w:rsid w:val="00362A04"/>
    <w:rsid w:val="00362E1C"/>
    <w:rsid w:val="003631B2"/>
    <w:rsid w:val="00363219"/>
    <w:rsid w:val="003635B9"/>
    <w:rsid w:val="00363934"/>
    <w:rsid w:val="0036397B"/>
    <w:rsid w:val="003643D8"/>
    <w:rsid w:val="00364806"/>
    <w:rsid w:val="00364C8D"/>
    <w:rsid w:val="00364EEA"/>
    <w:rsid w:val="0036528B"/>
    <w:rsid w:val="003654A3"/>
    <w:rsid w:val="00365738"/>
    <w:rsid w:val="00365791"/>
    <w:rsid w:val="00365C80"/>
    <w:rsid w:val="00365C9C"/>
    <w:rsid w:val="00365CC8"/>
    <w:rsid w:val="00365CD3"/>
    <w:rsid w:val="00365D5D"/>
    <w:rsid w:val="00365E38"/>
    <w:rsid w:val="00365E99"/>
    <w:rsid w:val="00366213"/>
    <w:rsid w:val="003663C4"/>
    <w:rsid w:val="003665FD"/>
    <w:rsid w:val="00366B10"/>
    <w:rsid w:val="00366C19"/>
    <w:rsid w:val="00366C80"/>
    <w:rsid w:val="00367EA5"/>
    <w:rsid w:val="00370084"/>
    <w:rsid w:val="003704CB"/>
    <w:rsid w:val="0037065E"/>
    <w:rsid w:val="00370A32"/>
    <w:rsid w:val="00370CE8"/>
    <w:rsid w:val="00370F31"/>
    <w:rsid w:val="00371059"/>
    <w:rsid w:val="003711CE"/>
    <w:rsid w:val="003719B7"/>
    <w:rsid w:val="00371C21"/>
    <w:rsid w:val="00371F26"/>
    <w:rsid w:val="00372677"/>
    <w:rsid w:val="0037382D"/>
    <w:rsid w:val="003738E8"/>
    <w:rsid w:val="003739EB"/>
    <w:rsid w:val="0037472E"/>
    <w:rsid w:val="00374A18"/>
    <w:rsid w:val="00374B3E"/>
    <w:rsid w:val="00374C9B"/>
    <w:rsid w:val="00374FAF"/>
    <w:rsid w:val="00375050"/>
    <w:rsid w:val="0037509A"/>
    <w:rsid w:val="003751CA"/>
    <w:rsid w:val="00375424"/>
    <w:rsid w:val="00375566"/>
    <w:rsid w:val="003759BB"/>
    <w:rsid w:val="00375C15"/>
    <w:rsid w:val="0037686F"/>
    <w:rsid w:val="003771B3"/>
    <w:rsid w:val="003773A3"/>
    <w:rsid w:val="00377CED"/>
    <w:rsid w:val="00380055"/>
    <w:rsid w:val="00380526"/>
    <w:rsid w:val="00381036"/>
    <w:rsid w:val="0038107C"/>
    <w:rsid w:val="003814A5"/>
    <w:rsid w:val="00381543"/>
    <w:rsid w:val="0038182F"/>
    <w:rsid w:val="0038186C"/>
    <w:rsid w:val="00381AA3"/>
    <w:rsid w:val="00382021"/>
    <w:rsid w:val="00382306"/>
    <w:rsid w:val="003824B4"/>
    <w:rsid w:val="00383116"/>
    <w:rsid w:val="00383128"/>
    <w:rsid w:val="003831B4"/>
    <w:rsid w:val="003832C6"/>
    <w:rsid w:val="00383699"/>
    <w:rsid w:val="0038372E"/>
    <w:rsid w:val="00383791"/>
    <w:rsid w:val="0038379F"/>
    <w:rsid w:val="00383ADF"/>
    <w:rsid w:val="00383D2F"/>
    <w:rsid w:val="003841AA"/>
    <w:rsid w:val="003845EA"/>
    <w:rsid w:val="0038474D"/>
    <w:rsid w:val="00384861"/>
    <w:rsid w:val="00384EE7"/>
    <w:rsid w:val="00385A76"/>
    <w:rsid w:val="00385D6D"/>
    <w:rsid w:val="00386218"/>
    <w:rsid w:val="0038662B"/>
    <w:rsid w:val="00386730"/>
    <w:rsid w:val="00387C69"/>
    <w:rsid w:val="00387CCC"/>
    <w:rsid w:val="00387D2F"/>
    <w:rsid w:val="00390ACC"/>
    <w:rsid w:val="00390BA3"/>
    <w:rsid w:val="00390BD5"/>
    <w:rsid w:val="00390FD6"/>
    <w:rsid w:val="003911D9"/>
    <w:rsid w:val="003913DF"/>
    <w:rsid w:val="003914D0"/>
    <w:rsid w:val="00391BAC"/>
    <w:rsid w:val="00391C9D"/>
    <w:rsid w:val="00393398"/>
    <w:rsid w:val="0039340B"/>
    <w:rsid w:val="00393B24"/>
    <w:rsid w:val="003940A3"/>
    <w:rsid w:val="00394277"/>
    <w:rsid w:val="003943BA"/>
    <w:rsid w:val="00394591"/>
    <w:rsid w:val="00394D59"/>
    <w:rsid w:val="00394F71"/>
    <w:rsid w:val="00394FFB"/>
    <w:rsid w:val="0039502F"/>
    <w:rsid w:val="003955EA"/>
    <w:rsid w:val="00395A6F"/>
    <w:rsid w:val="00395B69"/>
    <w:rsid w:val="00395BD6"/>
    <w:rsid w:val="00395E98"/>
    <w:rsid w:val="003960D3"/>
    <w:rsid w:val="0039665F"/>
    <w:rsid w:val="003969EC"/>
    <w:rsid w:val="00396B0C"/>
    <w:rsid w:val="00396C0B"/>
    <w:rsid w:val="00396E98"/>
    <w:rsid w:val="003973FF"/>
    <w:rsid w:val="003974BC"/>
    <w:rsid w:val="0039762D"/>
    <w:rsid w:val="00397645"/>
    <w:rsid w:val="003A06F9"/>
    <w:rsid w:val="003A07C8"/>
    <w:rsid w:val="003A08AE"/>
    <w:rsid w:val="003A093D"/>
    <w:rsid w:val="003A0BE2"/>
    <w:rsid w:val="003A0D22"/>
    <w:rsid w:val="003A0E25"/>
    <w:rsid w:val="003A19EA"/>
    <w:rsid w:val="003A1A23"/>
    <w:rsid w:val="003A1E58"/>
    <w:rsid w:val="003A2288"/>
    <w:rsid w:val="003A249F"/>
    <w:rsid w:val="003A2ABB"/>
    <w:rsid w:val="003A3007"/>
    <w:rsid w:val="003A33F0"/>
    <w:rsid w:val="003A3443"/>
    <w:rsid w:val="003A3ACD"/>
    <w:rsid w:val="003A3F37"/>
    <w:rsid w:val="003A419B"/>
    <w:rsid w:val="003A4232"/>
    <w:rsid w:val="003A42B7"/>
    <w:rsid w:val="003A5215"/>
    <w:rsid w:val="003A52A1"/>
    <w:rsid w:val="003A5739"/>
    <w:rsid w:val="003A5834"/>
    <w:rsid w:val="003A5EAE"/>
    <w:rsid w:val="003A60BF"/>
    <w:rsid w:val="003A61FA"/>
    <w:rsid w:val="003A66EB"/>
    <w:rsid w:val="003A6911"/>
    <w:rsid w:val="003A6AE3"/>
    <w:rsid w:val="003A6C56"/>
    <w:rsid w:val="003A7427"/>
    <w:rsid w:val="003A75D6"/>
    <w:rsid w:val="003A760B"/>
    <w:rsid w:val="003A7633"/>
    <w:rsid w:val="003A7C11"/>
    <w:rsid w:val="003A7CA1"/>
    <w:rsid w:val="003A7E0F"/>
    <w:rsid w:val="003B0491"/>
    <w:rsid w:val="003B0573"/>
    <w:rsid w:val="003B06C1"/>
    <w:rsid w:val="003B098A"/>
    <w:rsid w:val="003B0C75"/>
    <w:rsid w:val="003B1619"/>
    <w:rsid w:val="003B193B"/>
    <w:rsid w:val="003B1CB4"/>
    <w:rsid w:val="003B1F7C"/>
    <w:rsid w:val="003B20BC"/>
    <w:rsid w:val="003B21F0"/>
    <w:rsid w:val="003B28C4"/>
    <w:rsid w:val="003B3019"/>
    <w:rsid w:val="003B31AB"/>
    <w:rsid w:val="003B3392"/>
    <w:rsid w:val="003B34F3"/>
    <w:rsid w:val="003B353F"/>
    <w:rsid w:val="003B3545"/>
    <w:rsid w:val="003B4229"/>
    <w:rsid w:val="003B4416"/>
    <w:rsid w:val="003B4AD3"/>
    <w:rsid w:val="003B4E79"/>
    <w:rsid w:val="003B4EFD"/>
    <w:rsid w:val="003B505E"/>
    <w:rsid w:val="003B50D2"/>
    <w:rsid w:val="003B580A"/>
    <w:rsid w:val="003B5D89"/>
    <w:rsid w:val="003B5EB0"/>
    <w:rsid w:val="003B68C8"/>
    <w:rsid w:val="003B6A5B"/>
    <w:rsid w:val="003B6C56"/>
    <w:rsid w:val="003B6ED1"/>
    <w:rsid w:val="003B774D"/>
    <w:rsid w:val="003B7CC2"/>
    <w:rsid w:val="003B7D7E"/>
    <w:rsid w:val="003B7FCA"/>
    <w:rsid w:val="003C0388"/>
    <w:rsid w:val="003C0C45"/>
    <w:rsid w:val="003C0F98"/>
    <w:rsid w:val="003C13AB"/>
    <w:rsid w:val="003C15EA"/>
    <w:rsid w:val="003C191D"/>
    <w:rsid w:val="003C1CF3"/>
    <w:rsid w:val="003C292F"/>
    <w:rsid w:val="003C2A45"/>
    <w:rsid w:val="003C2A72"/>
    <w:rsid w:val="003C2ABC"/>
    <w:rsid w:val="003C2AC6"/>
    <w:rsid w:val="003C2CBB"/>
    <w:rsid w:val="003C30BB"/>
    <w:rsid w:val="003C3209"/>
    <w:rsid w:val="003C3640"/>
    <w:rsid w:val="003C3CCE"/>
    <w:rsid w:val="003C3EDB"/>
    <w:rsid w:val="003C4336"/>
    <w:rsid w:val="003C4357"/>
    <w:rsid w:val="003C4571"/>
    <w:rsid w:val="003C4637"/>
    <w:rsid w:val="003C4894"/>
    <w:rsid w:val="003C4BC6"/>
    <w:rsid w:val="003C4FB8"/>
    <w:rsid w:val="003C51D3"/>
    <w:rsid w:val="003C573E"/>
    <w:rsid w:val="003C5D1F"/>
    <w:rsid w:val="003C5F55"/>
    <w:rsid w:val="003C61A0"/>
    <w:rsid w:val="003C6587"/>
    <w:rsid w:val="003C66A7"/>
    <w:rsid w:val="003C6791"/>
    <w:rsid w:val="003C6912"/>
    <w:rsid w:val="003C6BE4"/>
    <w:rsid w:val="003C6E6B"/>
    <w:rsid w:val="003C6ED1"/>
    <w:rsid w:val="003C70E6"/>
    <w:rsid w:val="003C71B6"/>
    <w:rsid w:val="003C734A"/>
    <w:rsid w:val="003C7639"/>
    <w:rsid w:val="003C78D4"/>
    <w:rsid w:val="003C7C4F"/>
    <w:rsid w:val="003C7D1B"/>
    <w:rsid w:val="003D0AF7"/>
    <w:rsid w:val="003D0C6D"/>
    <w:rsid w:val="003D14ED"/>
    <w:rsid w:val="003D15EE"/>
    <w:rsid w:val="003D22FE"/>
    <w:rsid w:val="003D27C4"/>
    <w:rsid w:val="003D2EC7"/>
    <w:rsid w:val="003D2EFE"/>
    <w:rsid w:val="003D319A"/>
    <w:rsid w:val="003D3523"/>
    <w:rsid w:val="003D3943"/>
    <w:rsid w:val="003D3D98"/>
    <w:rsid w:val="003D3F94"/>
    <w:rsid w:val="003D4734"/>
    <w:rsid w:val="003D4C78"/>
    <w:rsid w:val="003D51E5"/>
    <w:rsid w:val="003D528B"/>
    <w:rsid w:val="003D54BF"/>
    <w:rsid w:val="003D667F"/>
    <w:rsid w:val="003E038B"/>
    <w:rsid w:val="003E0B3A"/>
    <w:rsid w:val="003E165F"/>
    <w:rsid w:val="003E16A2"/>
    <w:rsid w:val="003E198A"/>
    <w:rsid w:val="003E1D5A"/>
    <w:rsid w:val="003E215E"/>
    <w:rsid w:val="003E21CB"/>
    <w:rsid w:val="003E247D"/>
    <w:rsid w:val="003E24F6"/>
    <w:rsid w:val="003E2627"/>
    <w:rsid w:val="003E28DD"/>
    <w:rsid w:val="003E29E8"/>
    <w:rsid w:val="003E2A78"/>
    <w:rsid w:val="003E34D6"/>
    <w:rsid w:val="003E3552"/>
    <w:rsid w:val="003E36FB"/>
    <w:rsid w:val="003E380B"/>
    <w:rsid w:val="003E39C1"/>
    <w:rsid w:val="003E3A74"/>
    <w:rsid w:val="003E3B15"/>
    <w:rsid w:val="003E4010"/>
    <w:rsid w:val="003E43ED"/>
    <w:rsid w:val="003E4452"/>
    <w:rsid w:val="003E47B4"/>
    <w:rsid w:val="003E4A0E"/>
    <w:rsid w:val="003E5247"/>
    <w:rsid w:val="003E58FE"/>
    <w:rsid w:val="003E5FB0"/>
    <w:rsid w:val="003E6964"/>
    <w:rsid w:val="003E69F2"/>
    <w:rsid w:val="003E6F48"/>
    <w:rsid w:val="003E7014"/>
    <w:rsid w:val="003E7293"/>
    <w:rsid w:val="003E72E8"/>
    <w:rsid w:val="003E7563"/>
    <w:rsid w:val="003E7C8C"/>
    <w:rsid w:val="003E7CA8"/>
    <w:rsid w:val="003F035D"/>
    <w:rsid w:val="003F0B34"/>
    <w:rsid w:val="003F0D43"/>
    <w:rsid w:val="003F1204"/>
    <w:rsid w:val="003F1668"/>
    <w:rsid w:val="003F16C1"/>
    <w:rsid w:val="003F1CB2"/>
    <w:rsid w:val="003F20FE"/>
    <w:rsid w:val="003F26BD"/>
    <w:rsid w:val="003F29C0"/>
    <w:rsid w:val="003F3124"/>
    <w:rsid w:val="003F320A"/>
    <w:rsid w:val="003F32FD"/>
    <w:rsid w:val="003F35B6"/>
    <w:rsid w:val="003F374D"/>
    <w:rsid w:val="003F3C28"/>
    <w:rsid w:val="003F3C5A"/>
    <w:rsid w:val="003F3DDE"/>
    <w:rsid w:val="003F44E8"/>
    <w:rsid w:val="003F457A"/>
    <w:rsid w:val="003F554D"/>
    <w:rsid w:val="003F5BCB"/>
    <w:rsid w:val="003F5C53"/>
    <w:rsid w:val="003F5E30"/>
    <w:rsid w:val="003F6345"/>
    <w:rsid w:val="003F6A2B"/>
    <w:rsid w:val="003F6E46"/>
    <w:rsid w:val="003F7161"/>
    <w:rsid w:val="003F7379"/>
    <w:rsid w:val="003F7449"/>
    <w:rsid w:val="003F7A4C"/>
    <w:rsid w:val="004004E4"/>
    <w:rsid w:val="00400A00"/>
    <w:rsid w:val="00400BA0"/>
    <w:rsid w:val="00400D4D"/>
    <w:rsid w:val="00400E2A"/>
    <w:rsid w:val="004011A5"/>
    <w:rsid w:val="004017C4"/>
    <w:rsid w:val="0040183B"/>
    <w:rsid w:val="004018D2"/>
    <w:rsid w:val="00401911"/>
    <w:rsid w:val="00401FE3"/>
    <w:rsid w:val="004021FA"/>
    <w:rsid w:val="00402596"/>
    <w:rsid w:val="0040263B"/>
    <w:rsid w:val="004026E9"/>
    <w:rsid w:val="004026FF"/>
    <w:rsid w:val="00402B5B"/>
    <w:rsid w:val="00402CDF"/>
    <w:rsid w:val="00402DF0"/>
    <w:rsid w:val="004031F2"/>
    <w:rsid w:val="0040395B"/>
    <w:rsid w:val="00403999"/>
    <w:rsid w:val="00403ADC"/>
    <w:rsid w:val="00403CAB"/>
    <w:rsid w:val="00403FBA"/>
    <w:rsid w:val="0040404F"/>
    <w:rsid w:val="00404087"/>
    <w:rsid w:val="004042FC"/>
    <w:rsid w:val="0040461C"/>
    <w:rsid w:val="00404691"/>
    <w:rsid w:val="004047F6"/>
    <w:rsid w:val="004049F0"/>
    <w:rsid w:val="00404A08"/>
    <w:rsid w:val="00404EBD"/>
    <w:rsid w:val="00405091"/>
    <w:rsid w:val="0040545B"/>
    <w:rsid w:val="0040583F"/>
    <w:rsid w:val="00405985"/>
    <w:rsid w:val="00405B32"/>
    <w:rsid w:val="00405B54"/>
    <w:rsid w:val="00405B65"/>
    <w:rsid w:val="00405D13"/>
    <w:rsid w:val="00405E57"/>
    <w:rsid w:val="004060DD"/>
    <w:rsid w:val="00406719"/>
    <w:rsid w:val="00406C0E"/>
    <w:rsid w:val="00406CB8"/>
    <w:rsid w:val="00406E6B"/>
    <w:rsid w:val="00407609"/>
    <w:rsid w:val="004076AA"/>
    <w:rsid w:val="00407A97"/>
    <w:rsid w:val="00407EB1"/>
    <w:rsid w:val="00407F65"/>
    <w:rsid w:val="00407FFE"/>
    <w:rsid w:val="004102FF"/>
    <w:rsid w:val="00410779"/>
    <w:rsid w:val="00410796"/>
    <w:rsid w:val="00410C22"/>
    <w:rsid w:val="00410E5B"/>
    <w:rsid w:val="00411144"/>
    <w:rsid w:val="0041125C"/>
    <w:rsid w:val="0041162F"/>
    <w:rsid w:val="004118FC"/>
    <w:rsid w:val="00411DF9"/>
    <w:rsid w:val="00411F58"/>
    <w:rsid w:val="00411FDC"/>
    <w:rsid w:val="0041248E"/>
    <w:rsid w:val="004125C1"/>
    <w:rsid w:val="004126F8"/>
    <w:rsid w:val="00412728"/>
    <w:rsid w:val="00412C4E"/>
    <w:rsid w:val="00412DEF"/>
    <w:rsid w:val="0041311F"/>
    <w:rsid w:val="00413E58"/>
    <w:rsid w:val="00413E99"/>
    <w:rsid w:val="00413F16"/>
    <w:rsid w:val="004142F7"/>
    <w:rsid w:val="004146F9"/>
    <w:rsid w:val="00414815"/>
    <w:rsid w:val="00414877"/>
    <w:rsid w:val="00414D8C"/>
    <w:rsid w:val="004150DA"/>
    <w:rsid w:val="00415162"/>
    <w:rsid w:val="004151FB"/>
    <w:rsid w:val="00415469"/>
    <w:rsid w:val="00415955"/>
    <w:rsid w:val="00415E68"/>
    <w:rsid w:val="00416B64"/>
    <w:rsid w:val="00416C14"/>
    <w:rsid w:val="00416E3D"/>
    <w:rsid w:val="00417004"/>
    <w:rsid w:val="00417177"/>
    <w:rsid w:val="004174C9"/>
    <w:rsid w:val="00417875"/>
    <w:rsid w:val="00417CE0"/>
    <w:rsid w:val="00420ABF"/>
    <w:rsid w:val="00420AE6"/>
    <w:rsid w:val="00420BF6"/>
    <w:rsid w:val="00420ECD"/>
    <w:rsid w:val="0042119B"/>
    <w:rsid w:val="00421244"/>
    <w:rsid w:val="00421B48"/>
    <w:rsid w:val="00421CD8"/>
    <w:rsid w:val="00422027"/>
    <w:rsid w:val="004220C0"/>
    <w:rsid w:val="004224DC"/>
    <w:rsid w:val="0042287E"/>
    <w:rsid w:val="00422A1C"/>
    <w:rsid w:val="00422CB5"/>
    <w:rsid w:val="00422CC8"/>
    <w:rsid w:val="00422E29"/>
    <w:rsid w:val="00422E97"/>
    <w:rsid w:val="004230C8"/>
    <w:rsid w:val="00423160"/>
    <w:rsid w:val="00423732"/>
    <w:rsid w:val="00423BA2"/>
    <w:rsid w:val="00423BC9"/>
    <w:rsid w:val="004244BD"/>
    <w:rsid w:val="004245AB"/>
    <w:rsid w:val="0042471E"/>
    <w:rsid w:val="00424ACA"/>
    <w:rsid w:val="00424CC6"/>
    <w:rsid w:val="00425701"/>
    <w:rsid w:val="00425C46"/>
    <w:rsid w:val="0042616D"/>
    <w:rsid w:val="004261BF"/>
    <w:rsid w:val="00426275"/>
    <w:rsid w:val="004262D3"/>
    <w:rsid w:val="0042652E"/>
    <w:rsid w:val="004265F2"/>
    <w:rsid w:val="0042664F"/>
    <w:rsid w:val="004266D9"/>
    <w:rsid w:val="004266E0"/>
    <w:rsid w:val="0042674B"/>
    <w:rsid w:val="00426A46"/>
    <w:rsid w:val="00426CCE"/>
    <w:rsid w:val="00427338"/>
    <w:rsid w:val="00427637"/>
    <w:rsid w:val="00427A18"/>
    <w:rsid w:val="00427AFE"/>
    <w:rsid w:val="004303D4"/>
    <w:rsid w:val="004308B1"/>
    <w:rsid w:val="00430CEC"/>
    <w:rsid w:val="00430DD7"/>
    <w:rsid w:val="0043106B"/>
    <w:rsid w:val="00431354"/>
    <w:rsid w:val="00431666"/>
    <w:rsid w:val="00431DA0"/>
    <w:rsid w:val="00431F09"/>
    <w:rsid w:val="00431F15"/>
    <w:rsid w:val="004320A5"/>
    <w:rsid w:val="0043289B"/>
    <w:rsid w:val="0043305E"/>
    <w:rsid w:val="00433273"/>
    <w:rsid w:val="00433647"/>
    <w:rsid w:val="00433761"/>
    <w:rsid w:val="004339DB"/>
    <w:rsid w:val="00433BD7"/>
    <w:rsid w:val="00433D5B"/>
    <w:rsid w:val="00434272"/>
    <w:rsid w:val="004345F7"/>
    <w:rsid w:val="004347F9"/>
    <w:rsid w:val="0043488E"/>
    <w:rsid w:val="0043534B"/>
    <w:rsid w:val="004354A9"/>
    <w:rsid w:val="00435C0C"/>
    <w:rsid w:val="00435D88"/>
    <w:rsid w:val="0043625C"/>
    <w:rsid w:val="00436382"/>
    <w:rsid w:val="00436403"/>
    <w:rsid w:val="00436440"/>
    <w:rsid w:val="00436577"/>
    <w:rsid w:val="0043672D"/>
    <w:rsid w:val="00436826"/>
    <w:rsid w:val="00436989"/>
    <w:rsid w:val="00436BB4"/>
    <w:rsid w:val="00436FFC"/>
    <w:rsid w:val="004370B5"/>
    <w:rsid w:val="00437395"/>
    <w:rsid w:val="00437C8D"/>
    <w:rsid w:val="00437E2F"/>
    <w:rsid w:val="00437F57"/>
    <w:rsid w:val="00437F73"/>
    <w:rsid w:val="00440058"/>
    <w:rsid w:val="00440359"/>
    <w:rsid w:val="004405F3"/>
    <w:rsid w:val="00440753"/>
    <w:rsid w:val="004407ED"/>
    <w:rsid w:val="00440B31"/>
    <w:rsid w:val="00440C62"/>
    <w:rsid w:val="00440FDF"/>
    <w:rsid w:val="004413DA"/>
    <w:rsid w:val="004417C5"/>
    <w:rsid w:val="004420DA"/>
    <w:rsid w:val="004420E1"/>
    <w:rsid w:val="00442976"/>
    <w:rsid w:val="00442C3D"/>
    <w:rsid w:val="00442E4C"/>
    <w:rsid w:val="00442EAA"/>
    <w:rsid w:val="00442FFE"/>
    <w:rsid w:val="0044304A"/>
    <w:rsid w:val="0044322A"/>
    <w:rsid w:val="00443259"/>
    <w:rsid w:val="0044385B"/>
    <w:rsid w:val="00443B67"/>
    <w:rsid w:val="0044441E"/>
    <w:rsid w:val="004445DA"/>
    <w:rsid w:val="0044481E"/>
    <w:rsid w:val="00444B20"/>
    <w:rsid w:val="00444CD2"/>
    <w:rsid w:val="00444E5D"/>
    <w:rsid w:val="00445104"/>
    <w:rsid w:val="004458B4"/>
    <w:rsid w:val="00445B47"/>
    <w:rsid w:val="00445CBA"/>
    <w:rsid w:val="00445FD6"/>
    <w:rsid w:val="0044678B"/>
    <w:rsid w:val="00446804"/>
    <w:rsid w:val="00446CE4"/>
    <w:rsid w:val="00446E03"/>
    <w:rsid w:val="00446E54"/>
    <w:rsid w:val="00446F09"/>
    <w:rsid w:val="0044719B"/>
    <w:rsid w:val="00450022"/>
    <w:rsid w:val="00450225"/>
    <w:rsid w:val="00451368"/>
    <w:rsid w:val="004514B5"/>
    <w:rsid w:val="00451717"/>
    <w:rsid w:val="00451DA8"/>
    <w:rsid w:val="004526B0"/>
    <w:rsid w:val="004526F2"/>
    <w:rsid w:val="0045273B"/>
    <w:rsid w:val="004528C5"/>
    <w:rsid w:val="0045296B"/>
    <w:rsid w:val="00452A57"/>
    <w:rsid w:val="00452AAA"/>
    <w:rsid w:val="00452D81"/>
    <w:rsid w:val="00453071"/>
    <w:rsid w:val="004531C6"/>
    <w:rsid w:val="00454426"/>
    <w:rsid w:val="00454661"/>
    <w:rsid w:val="00454801"/>
    <w:rsid w:val="004552C6"/>
    <w:rsid w:val="004553EC"/>
    <w:rsid w:val="00455455"/>
    <w:rsid w:val="00455860"/>
    <w:rsid w:val="004559EF"/>
    <w:rsid w:val="00455BE4"/>
    <w:rsid w:val="00455BFF"/>
    <w:rsid w:val="00455C10"/>
    <w:rsid w:val="00455C4D"/>
    <w:rsid w:val="004560D8"/>
    <w:rsid w:val="00456145"/>
    <w:rsid w:val="00456EA8"/>
    <w:rsid w:val="004571B4"/>
    <w:rsid w:val="00457754"/>
    <w:rsid w:val="00457C94"/>
    <w:rsid w:val="00457D17"/>
    <w:rsid w:val="00457D43"/>
    <w:rsid w:val="00457DB1"/>
    <w:rsid w:val="0046021C"/>
    <w:rsid w:val="004605DF"/>
    <w:rsid w:val="0046076C"/>
    <w:rsid w:val="00460F3A"/>
    <w:rsid w:val="00461197"/>
    <w:rsid w:val="00461709"/>
    <w:rsid w:val="00461777"/>
    <w:rsid w:val="004617AC"/>
    <w:rsid w:val="00462029"/>
    <w:rsid w:val="00462241"/>
    <w:rsid w:val="00462888"/>
    <w:rsid w:val="00463267"/>
    <w:rsid w:val="004633B2"/>
    <w:rsid w:val="00463882"/>
    <w:rsid w:val="00463AD6"/>
    <w:rsid w:val="00463C1D"/>
    <w:rsid w:val="00463F0E"/>
    <w:rsid w:val="004640D1"/>
    <w:rsid w:val="0046430E"/>
    <w:rsid w:val="004645DD"/>
    <w:rsid w:val="004646D6"/>
    <w:rsid w:val="00464D68"/>
    <w:rsid w:val="00464F2A"/>
    <w:rsid w:val="00465287"/>
    <w:rsid w:val="00465309"/>
    <w:rsid w:val="00465551"/>
    <w:rsid w:val="00465C77"/>
    <w:rsid w:val="0046666E"/>
    <w:rsid w:val="00466696"/>
    <w:rsid w:val="00466A6E"/>
    <w:rsid w:val="00466BA3"/>
    <w:rsid w:val="00466D85"/>
    <w:rsid w:val="00466E9B"/>
    <w:rsid w:val="00466F67"/>
    <w:rsid w:val="0046740D"/>
    <w:rsid w:val="00467930"/>
    <w:rsid w:val="00470D18"/>
    <w:rsid w:val="00471159"/>
    <w:rsid w:val="00471180"/>
    <w:rsid w:val="00471682"/>
    <w:rsid w:val="00471BC1"/>
    <w:rsid w:val="00471C25"/>
    <w:rsid w:val="004722AC"/>
    <w:rsid w:val="004722D9"/>
    <w:rsid w:val="00472338"/>
    <w:rsid w:val="0047253F"/>
    <w:rsid w:val="0047279A"/>
    <w:rsid w:val="004728CB"/>
    <w:rsid w:val="00472BBE"/>
    <w:rsid w:val="00472FB1"/>
    <w:rsid w:val="00473726"/>
    <w:rsid w:val="004739E1"/>
    <w:rsid w:val="00473D6A"/>
    <w:rsid w:val="00474543"/>
    <w:rsid w:val="004747A1"/>
    <w:rsid w:val="00474B54"/>
    <w:rsid w:val="00474BA2"/>
    <w:rsid w:val="00474F83"/>
    <w:rsid w:val="00475071"/>
    <w:rsid w:val="00475B39"/>
    <w:rsid w:val="0047606A"/>
    <w:rsid w:val="00476132"/>
    <w:rsid w:val="00476590"/>
    <w:rsid w:val="00476F2F"/>
    <w:rsid w:val="004770C0"/>
    <w:rsid w:val="0047712A"/>
    <w:rsid w:val="004774D4"/>
    <w:rsid w:val="00477885"/>
    <w:rsid w:val="00477ED3"/>
    <w:rsid w:val="00477F5E"/>
    <w:rsid w:val="00480154"/>
    <w:rsid w:val="004806CF"/>
    <w:rsid w:val="004808DF"/>
    <w:rsid w:val="004809EC"/>
    <w:rsid w:val="00480FAF"/>
    <w:rsid w:val="00480FCC"/>
    <w:rsid w:val="004816F1"/>
    <w:rsid w:val="00481847"/>
    <w:rsid w:val="0048191E"/>
    <w:rsid w:val="004820FF"/>
    <w:rsid w:val="0048214A"/>
    <w:rsid w:val="004821BB"/>
    <w:rsid w:val="004822F4"/>
    <w:rsid w:val="0048288E"/>
    <w:rsid w:val="00482DCD"/>
    <w:rsid w:val="00482FFD"/>
    <w:rsid w:val="004830A9"/>
    <w:rsid w:val="00483152"/>
    <w:rsid w:val="004834A8"/>
    <w:rsid w:val="00484C9D"/>
    <w:rsid w:val="00484E7F"/>
    <w:rsid w:val="004854AB"/>
    <w:rsid w:val="00485676"/>
    <w:rsid w:val="00485B56"/>
    <w:rsid w:val="00486450"/>
    <w:rsid w:val="00486488"/>
    <w:rsid w:val="00486536"/>
    <w:rsid w:val="00486617"/>
    <w:rsid w:val="0048693D"/>
    <w:rsid w:val="00486F4A"/>
    <w:rsid w:val="00487051"/>
    <w:rsid w:val="00487063"/>
    <w:rsid w:val="004870AB"/>
    <w:rsid w:val="004873D6"/>
    <w:rsid w:val="00487610"/>
    <w:rsid w:val="00487823"/>
    <w:rsid w:val="00487925"/>
    <w:rsid w:val="00487C11"/>
    <w:rsid w:val="004908DD"/>
    <w:rsid w:val="00490A0A"/>
    <w:rsid w:val="00490B89"/>
    <w:rsid w:val="00490F25"/>
    <w:rsid w:val="004918CE"/>
    <w:rsid w:val="004919C8"/>
    <w:rsid w:val="004919C9"/>
    <w:rsid w:val="00491BD0"/>
    <w:rsid w:val="004922C1"/>
    <w:rsid w:val="00492445"/>
    <w:rsid w:val="00492ECA"/>
    <w:rsid w:val="0049388F"/>
    <w:rsid w:val="004938D7"/>
    <w:rsid w:val="00493D3E"/>
    <w:rsid w:val="00494181"/>
    <w:rsid w:val="004945CF"/>
    <w:rsid w:val="004945EE"/>
    <w:rsid w:val="00494AC1"/>
    <w:rsid w:val="00494D27"/>
    <w:rsid w:val="00494F07"/>
    <w:rsid w:val="004952A9"/>
    <w:rsid w:val="0049540A"/>
    <w:rsid w:val="00495964"/>
    <w:rsid w:val="00495A4B"/>
    <w:rsid w:val="00495A8C"/>
    <w:rsid w:val="00495FD1"/>
    <w:rsid w:val="00496686"/>
    <w:rsid w:val="00496ABB"/>
    <w:rsid w:val="00496D40"/>
    <w:rsid w:val="0049746A"/>
    <w:rsid w:val="0049777F"/>
    <w:rsid w:val="004A018A"/>
    <w:rsid w:val="004A0295"/>
    <w:rsid w:val="004A02B5"/>
    <w:rsid w:val="004A02C6"/>
    <w:rsid w:val="004A0322"/>
    <w:rsid w:val="004A0413"/>
    <w:rsid w:val="004A0807"/>
    <w:rsid w:val="004A080C"/>
    <w:rsid w:val="004A1889"/>
    <w:rsid w:val="004A19C2"/>
    <w:rsid w:val="004A2019"/>
    <w:rsid w:val="004A296B"/>
    <w:rsid w:val="004A2AD6"/>
    <w:rsid w:val="004A2CCB"/>
    <w:rsid w:val="004A31E5"/>
    <w:rsid w:val="004A3535"/>
    <w:rsid w:val="004A3E8A"/>
    <w:rsid w:val="004A4061"/>
    <w:rsid w:val="004A4559"/>
    <w:rsid w:val="004A465D"/>
    <w:rsid w:val="004A48C4"/>
    <w:rsid w:val="004A4AD2"/>
    <w:rsid w:val="004A4BDC"/>
    <w:rsid w:val="004A4BE0"/>
    <w:rsid w:val="004A4E80"/>
    <w:rsid w:val="004A4F43"/>
    <w:rsid w:val="004A4F62"/>
    <w:rsid w:val="004A52F1"/>
    <w:rsid w:val="004A534E"/>
    <w:rsid w:val="004A5390"/>
    <w:rsid w:val="004A5667"/>
    <w:rsid w:val="004A581F"/>
    <w:rsid w:val="004A5B12"/>
    <w:rsid w:val="004A5F95"/>
    <w:rsid w:val="004A5FFF"/>
    <w:rsid w:val="004A6049"/>
    <w:rsid w:val="004A6072"/>
    <w:rsid w:val="004A6364"/>
    <w:rsid w:val="004A733E"/>
    <w:rsid w:val="004A75B9"/>
    <w:rsid w:val="004A7817"/>
    <w:rsid w:val="004A7A60"/>
    <w:rsid w:val="004B02A4"/>
    <w:rsid w:val="004B0908"/>
    <w:rsid w:val="004B1186"/>
    <w:rsid w:val="004B13D6"/>
    <w:rsid w:val="004B171B"/>
    <w:rsid w:val="004B199A"/>
    <w:rsid w:val="004B1EE1"/>
    <w:rsid w:val="004B2016"/>
    <w:rsid w:val="004B262B"/>
    <w:rsid w:val="004B2773"/>
    <w:rsid w:val="004B2781"/>
    <w:rsid w:val="004B27B9"/>
    <w:rsid w:val="004B282C"/>
    <w:rsid w:val="004B2897"/>
    <w:rsid w:val="004B3086"/>
    <w:rsid w:val="004B3242"/>
    <w:rsid w:val="004B3493"/>
    <w:rsid w:val="004B3693"/>
    <w:rsid w:val="004B3753"/>
    <w:rsid w:val="004B3809"/>
    <w:rsid w:val="004B38E4"/>
    <w:rsid w:val="004B3C41"/>
    <w:rsid w:val="004B3E97"/>
    <w:rsid w:val="004B3F03"/>
    <w:rsid w:val="004B3FB2"/>
    <w:rsid w:val="004B4F3D"/>
    <w:rsid w:val="004B4FCE"/>
    <w:rsid w:val="004B5270"/>
    <w:rsid w:val="004B5304"/>
    <w:rsid w:val="004B5769"/>
    <w:rsid w:val="004B57A1"/>
    <w:rsid w:val="004B5934"/>
    <w:rsid w:val="004B5CB1"/>
    <w:rsid w:val="004B5E08"/>
    <w:rsid w:val="004B66CF"/>
    <w:rsid w:val="004B6908"/>
    <w:rsid w:val="004B6ABD"/>
    <w:rsid w:val="004B6AF5"/>
    <w:rsid w:val="004B739B"/>
    <w:rsid w:val="004B74E2"/>
    <w:rsid w:val="004B75E3"/>
    <w:rsid w:val="004B7B70"/>
    <w:rsid w:val="004B7DE6"/>
    <w:rsid w:val="004C0029"/>
    <w:rsid w:val="004C09F2"/>
    <w:rsid w:val="004C0A5D"/>
    <w:rsid w:val="004C0A8C"/>
    <w:rsid w:val="004C1D70"/>
    <w:rsid w:val="004C3607"/>
    <w:rsid w:val="004C3B5D"/>
    <w:rsid w:val="004C3E4B"/>
    <w:rsid w:val="004C3E9C"/>
    <w:rsid w:val="004C4318"/>
    <w:rsid w:val="004C449D"/>
    <w:rsid w:val="004C46B5"/>
    <w:rsid w:val="004C48A9"/>
    <w:rsid w:val="004C4B24"/>
    <w:rsid w:val="004C4EF2"/>
    <w:rsid w:val="004C525C"/>
    <w:rsid w:val="004C5C10"/>
    <w:rsid w:val="004C5E9E"/>
    <w:rsid w:val="004C632D"/>
    <w:rsid w:val="004C681F"/>
    <w:rsid w:val="004C6866"/>
    <w:rsid w:val="004C6DF4"/>
    <w:rsid w:val="004C70CC"/>
    <w:rsid w:val="004C7668"/>
    <w:rsid w:val="004C7715"/>
    <w:rsid w:val="004C7D5B"/>
    <w:rsid w:val="004C7E94"/>
    <w:rsid w:val="004D0162"/>
    <w:rsid w:val="004D0A0B"/>
    <w:rsid w:val="004D0A26"/>
    <w:rsid w:val="004D0C64"/>
    <w:rsid w:val="004D0D6B"/>
    <w:rsid w:val="004D0EEB"/>
    <w:rsid w:val="004D2293"/>
    <w:rsid w:val="004D2916"/>
    <w:rsid w:val="004D2B17"/>
    <w:rsid w:val="004D2D54"/>
    <w:rsid w:val="004D32F9"/>
    <w:rsid w:val="004D338A"/>
    <w:rsid w:val="004D3B07"/>
    <w:rsid w:val="004D3C22"/>
    <w:rsid w:val="004D3D49"/>
    <w:rsid w:val="004D3F8B"/>
    <w:rsid w:val="004D42B3"/>
    <w:rsid w:val="004D46A0"/>
    <w:rsid w:val="004D4DD5"/>
    <w:rsid w:val="004D502D"/>
    <w:rsid w:val="004D51A7"/>
    <w:rsid w:val="004D5411"/>
    <w:rsid w:val="004D5F11"/>
    <w:rsid w:val="004D635B"/>
    <w:rsid w:val="004D67AE"/>
    <w:rsid w:val="004D6893"/>
    <w:rsid w:val="004D6C1E"/>
    <w:rsid w:val="004D6D55"/>
    <w:rsid w:val="004D70CF"/>
    <w:rsid w:val="004D7199"/>
    <w:rsid w:val="004D753B"/>
    <w:rsid w:val="004D7903"/>
    <w:rsid w:val="004D7EF3"/>
    <w:rsid w:val="004E032B"/>
    <w:rsid w:val="004E041E"/>
    <w:rsid w:val="004E04D6"/>
    <w:rsid w:val="004E0CDC"/>
    <w:rsid w:val="004E1359"/>
    <w:rsid w:val="004E14E4"/>
    <w:rsid w:val="004E194D"/>
    <w:rsid w:val="004E1A5B"/>
    <w:rsid w:val="004E1C39"/>
    <w:rsid w:val="004E1FA9"/>
    <w:rsid w:val="004E258E"/>
    <w:rsid w:val="004E2ED9"/>
    <w:rsid w:val="004E33C4"/>
    <w:rsid w:val="004E35AD"/>
    <w:rsid w:val="004E3AA7"/>
    <w:rsid w:val="004E402D"/>
    <w:rsid w:val="004E4544"/>
    <w:rsid w:val="004E4884"/>
    <w:rsid w:val="004E4906"/>
    <w:rsid w:val="004E4C66"/>
    <w:rsid w:val="004E4CAF"/>
    <w:rsid w:val="004E4D05"/>
    <w:rsid w:val="004E51C0"/>
    <w:rsid w:val="004E5662"/>
    <w:rsid w:val="004E5DD1"/>
    <w:rsid w:val="004E6295"/>
    <w:rsid w:val="004E63C3"/>
    <w:rsid w:val="004E65EF"/>
    <w:rsid w:val="004E662B"/>
    <w:rsid w:val="004E6B53"/>
    <w:rsid w:val="004E6BA3"/>
    <w:rsid w:val="004E6F05"/>
    <w:rsid w:val="004E7046"/>
    <w:rsid w:val="004E77E2"/>
    <w:rsid w:val="004F0140"/>
    <w:rsid w:val="004F03CB"/>
    <w:rsid w:val="004F03F8"/>
    <w:rsid w:val="004F0547"/>
    <w:rsid w:val="004F0AAC"/>
    <w:rsid w:val="004F1126"/>
    <w:rsid w:val="004F1330"/>
    <w:rsid w:val="004F13EF"/>
    <w:rsid w:val="004F1574"/>
    <w:rsid w:val="004F162F"/>
    <w:rsid w:val="004F1EEF"/>
    <w:rsid w:val="004F28C0"/>
    <w:rsid w:val="004F2E1E"/>
    <w:rsid w:val="004F328F"/>
    <w:rsid w:val="004F343B"/>
    <w:rsid w:val="004F3736"/>
    <w:rsid w:val="004F3E5B"/>
    <w:rsid w:val="004F422E"/>
    <w:rsid w:val="004F431E"/>
    <w:rsid w:val="004F4510"/>
    <w:rsid w:val="004F48F2"/>
    <w:rsid w:val="004F4932"/>
    <w:rsid w:val="004F4950"/>
    <w:rsid w:val="004F4A00"/>
    <w:rsid w:val="004F4D59"/>
    <w:rsid w:val="004F4DA5"/>
    <w:rsid w:val="004F4DB0"/>
    <w:rsid w:val="004F5030"/>
    <w:rsid w:val="004F53FC"/>
    <w:rsid w:val="004F56FC"/>
    <w:rsid w:val="004F591F"/>
    <w:rsid w:val="004F60CD"/>
    <w:rsid w:val="004F629B"/>
    <w:rsid w:val="004F63D9"/>
    <w:rsid w:val="004F6621"/>
    <w:rsid w:val="004F67A7"/>
    <w:rsid w:val="004F6CF5"/>
    <w:rsid w:val="004F7052"/>
    <w:rsid w:val="004F735E"/>
    <w:rsid w:val="004F7926"/>
    <w:rsid w:val="004F7B38"/>
    <w:rsid w:val="004F7D23"/>
    <w:rsid w:val="004F7D60"/>
    <w:rsid w:val="00500541"/>
    <w:rsid w:val="005008A5"/>
    <w:rsid w:val="00500E33"/>
    <w:rsid w:val="0050128D"/>
    <w:rsid w:val="00501429"/>
    <w:rsid w:val="00501621"/>
    <w:rsid w:val="00501939"/>
    <w:rsid w:val="00501BF2"/>
    <w:rsid w:val="00501C0C"/>
    <w:rsid w:val="00502557"/>
    <w:rsid w:val="00502A0D"/>
    <w:rsid w:val="00502A1E"/>
    <w:rsid w:val="00502F22"/>
    <w:rsid w:val="005030FB"/>
    <w:rsid w:val="005033A5"/>
    <w:rsid w:val="005037EF"/>
    <w:rsid w:val="0050400A"/>
    <w:rsid w:val="005041F2"/>
    <w:rsid w:val="00504374"/>
    <w:rsid w:val="005049AE"/>
    <w:rsid w:val="00504D32"/>
    <w:rsid w:val="00505535"/>
    <w:rsid w:val="0050578D"/>
    <w:rsid w:val="00505996"/>
    <w:rsid w:val="00505B9F"/>
    <w:rsid w:val="00505C71"/>
    <w:rsid w:val="00505EED"/>
    <w:rsid w:val="00505F1D"/>
    <w:rsid w:val="005064E4"/>
    <w:rsid w:val="0050652F"/>
    <w:rsid w:val="00506F86"/>
    <w:rsid w:val="005071B7"/>
    <w:rsid w:val="00507A05"/>
    <w:rsid w:val="00507BC2"/>
    <w:rsid w:val="00507CB4"/>
    <w:rsid w:val="005103C4"/>
    <w:rsid w:val="005109DD"/>
    <w:rsid w:val="00510BAA"/>
    <w:rsid w:val="00510F72"/>
    <w:rsid w:val="00511507"/>
    <w:rsid w:val="00511C89"/>
    <w:rsid w:val="005123BB"/>
    <w:rsid w:val="00512882"/>
    <w:rsid w:val="00512A95"/>
    <w:rsid w:val="00512B2A"/>
    <w:rsid w:val="00512EC8"/>
    <w:rsid w:val="00513292"/>
    <w:rsid w:val="005134FA"/>
    <w:rsid w:val="0051361D"/>
    <w:rsid w:val="0051476D"/>
    <w:rsid w:val="00514A94"/>
    <w:rsid w:val="0051527B"/>
    <w:rsid w:val="0051537B"/>
    <w:rsid w:val="00515644"/>
    <w:rsid w:val="005159B7"/>
    <w:rsid w:val="00516089"/>
    <w:rsid w:val="0051651C"/>
    <w:rsid w:val="005168FC"/>
    <w:rsid w:val="00516A68"/>
    <w:rsid w:val="00516AAF"/>
    <w:rsid w:val="00516CEF"/>
    <w:rsid w:val="00516D38"/>
    <w:rsid w:val="005174EC"/>
    <w:rsid w:val="00517545"/>
    <w:rsid w:val="00517549"/>
    <w:rsid w:val="005176DE"/>
    <w:rsid w:val="00517768"/>
    <w:rsid w:val="00520AC1"/>
    <w:rsid w:val="00520F2E"/>
    <w:rsid w:val="0052100F"/>
    <w:rsid w:val="00521016"/>
    <w:rsid w:val="005214F6"/>
    <w:rsid w:val="0052160D"/>
    <w:rsid w:val="00521ABC"/>
    <w:rsid w:val="00521AFB"/>
    <w:rsid w:val="00522053"/>
    <w:rsid w:val="00522B2F"/>
    <w:rsid w:val="00522D6F"/>
    <w:rsid w:val="005230BD"/>
    <w:rsid w:val="0052400F"/>
    <w:rsid w:val="0052457E"/>
    <w:rsid w:val="00524786"/>
    <w:rsid w:val="00524C88"/>
    <w:rsid w:val="00525190"/>
    <w:rsid w:val="005251E7"/>
    <w:rsid w:val="0052533E"/>
    <w:rsid w:val="005255F3"/>
    <w:rsid w:val="005256CC"/>
    <w:rsid w:val="00525BE1"/>
    <w:rsid w:val="00526A08"/>
    <w:rsid w:val="00527379"/>
    <w:rsid w:val="00527A04"/>
    <w:rsid w:val="00527CAD"/>
    <w:rsid w:val="00527D94"/>
    <w:rsid w:val="00527DE5"/>
    <w:rsid w:val="00527EB0"/>
    <w:rsid w:val="00530468"/>
    <w:rsid w:val="00530AFC"/>
    <w:rsid w:val="005313A1"/>
    <w:rsid w:val="0053156A"/>
    <w:rsid w:val="005317F3"/>
    <w:rsid w:val="00531E58"/>
    <w:rsid w:val="00531F3B"/>
    <w:rsid w:val="0053203B"/>
    <w:rsid w:val="0053208C"/>
    <w:rsid w:val="0053225D"/>
    <w:rsid w:val="0053318A"/>
    <w:rsid w:val="005335DD"/>
    <w:rsid w:val="00533C1C"/>
    <w:rsid w:val="00533CB7"/>
    <w:rsid w:val="00533E5D"/>
    <w:rsid w:val="00534108"/>
    <w:rsid w:val="0053414A"/>
    <w:rsid w:val="005341AF"/>
    <w:rsid w:val="00534307"/>
    <w:rsid w:val="005344CE"/>
    <w:rsid w:val="005348D0"/>
    <w:rsid w:val="0053498B"/>
    <w:rsid w:val="00534E44"/>
    <w:rsid w:val="005354B6"/>
    <w:rsid w:val="00535B74"/>
    <w:rsid w:val="00535E36"/>
    <w:rsid w:val="00535E70"/>
    <w:rsid w:val="00536215"/>
    <w:rsid w:val="005362B3"/>
    <w:rsid w:val="0053662A"/>
    <w:rsid w:val="005369A3"/>
    <w:rsid w:val="00536B2A"/>
    <w:rsid w:val="00536E1B"/>
    <w:rsid w:val="005377DE"/>
    <w:rsid w:val="005378E0"/>
    <w:rsid w:val="00537BC0"/>
    <w:rsid w:val="00537F7F"/>
    <w:rsid w:val="0054032E"/>
    <w:rsid w:val="005404CC"/>
    <w:rsid w:val="00540AC5"/>
    <w:rsid w:val="005412F3"/>
    <w:rsid w:val="00541745"/>
    <w:rsid w:val="0054199F"/>
    <w:rsid w:val="00541A1D"/>
    <w:rsid w:val="00541A5E"/>
    <w:rsid w:val="00541D48"/>
    <w:rsid w:val="00542630"/>
    <w:rsid w:val="00542763"/>
    <w:rsid w:val="00542BB1"/>
    <w:rsid w:val="005430A4"/>
    <w:rsid w:val="005431D2"/>
    <w:rsid w:val="005432FE"/>
    <w:rsid w:val="0054336B"/>
    <w:rsid w:val="005434F3"/>
    <w:rsid w:val="00543506"/>
    <w:rsid w:val="00543509"/>
    <w:rsid w:val="0054367A"/>
    <w:rsid w:val="00543885"/>
    <w:rsid w:val="00543B55"/>
    <w:rsid w:val="00543CA0"/>
    <w:rsid w:val="005440B4"/>
    <w:rsid w:val="005442AE"/>
    <w:rsid w:val="00544639"/>
    <w:rsid w:val="0054475D"/>
    <w:rsid w:val="005448B3"/>
    <w:rsid w:val="00544949"/>
    <w:rsid w:val="005449C9"/>
    <w:rsid w:val="00544D95"/>
    <w:rsid w:val="00544EEE"/>
    <w:rsid w:val="00545805"/>
    <w:rsid w:val="00545A3D"/>
    <w:rsid w:val="00545C04"/>
    <w:rsid w:val="00545F56"/>
    <w:rsid w:val="00546397"/>
    <w:rsid w:val="005465FA"/>
    <w:rsid w:val="00546969"/>
    <w:rsid w:val="00546CCC"/>
    <w:rsid w:val="00546D0B"/>
    <w:rsid w:val="00546F44"/>
    <w:rsid w:val="00547D2B"/>
    <w:rsid w:val="00547D52"/>
    <w:rsid w:val="00547E24"/>
    <w:rsid w:val="00550008"/>
    <w:rsid w:val="005500B4"/>
    <w:rsid w:val="00550ABA"/>
    <w:rsid w:val="00550CF9"/>
    <w:rsid w:val="00550E8E"/>
    <w:rsid w:val="0055102F"/>
    <w:rsid w:val="0055123A"/>
    <w:rsid w:val="00551708"/>
    <w:rsid w:val="005518E2"/>
    <w:rsid w:val="00551C5F"/>
    <w:rsid w:val="00551F76"/>
    <w:rsid w:val="00551FA8"/>
    <w:rsid w:val="00552383"/>
    <w:rsid w:val="00552770"/>
    <w:rsid w:val="00552D5B"/>
    <w:rsid w:val="005530E1"/>
    <w:rsid w:val="00553253"/>
    <w:rsid w:val="00553D35"/>
    <w:rsid w:val="00554635"/>
    <w:rsid w:val="005547CB"/>
    <w:rsid w:val="00554BA6"/>
    <w:rsid w:val="00554DCB"/>
    <w:rsid w:val="005554FB"/>
    <w:rsid w:val="00555F2F"/>
    <w:rsid w:val="00555F8A"/>
    <w:rsid w:val="005564EA"/>
    <w:rsid w:val="00556754"/>
    <w:rsid w:val="005567DD"/>
    <w:rsid w:val="00556967"/>
    <w:rsid w:val="00556C7F"/>
    <w:rsid w:val="00556C9F"/>
    <w:rsid w:val="00557297"/>
    <w:rsid w:val="005572FB"/>
    <w:rsid w:val="0055761D"/>
    <w:rsid w:val="005606F8"/>
    <w:rsid w:val="00560889"/>
    <w:rsid w:val="00560B87"/>
    <w:rsid w:val="00560F0C"/>
    <w:rsid w:val="00560F5C"/>
    <w:rsid w:val="00560F91"/>
    <w:rsid w:val="005615D3"/>
    <w:rsid w:val="00561C7D"/>
    <w:rsid w:val="00561F74"/>
    <w:rsid w:val="00561FE7"/>
    <w:rsid w:val="00562087"/>
    <w:rsid w:val="0056247B"/>
    <w:rsid w:val="00562689"/>
    <w:rsid w:val="00562AA8"/>
    <w:rsid w:val="00562E16"/>
    <w:rsid w:val="005631C5"/>
    <w:rsid w:val="005635A8"/>
    <w:rsid w:val="00563617"/>
    <w:rsid w:val="005636CA"/>
    <w:rsid w:val="005637FC"/>
    <w:rsid w:val="0056396E"/>
    <w:rsid w:val="00563A7B"/>
    <w:rsid w:val="00563FD0"/>
    <w:rsid w:val="005640F9"/>
    <w:rsid w:val="00564144"/>
    <w:rsid w:val="00564239"/>
    <w:rsid w:val="0056451C"/>
    <w:rsid w:val="00564924"/>
    <w:rsid w:val="00564A86"/>
    <w:rsid w:val="00564BC7"/>
    <w:rsid w:val="00564F83"/>
    <w:rsid w:val="00565447"/>
    <w:rsid w:val="00566308"/>
    <w:rsid w:val="005667C3"/>
    <w:rsid w:val="005669DD"/>
    <w:rsid w:val="005674A8"/>
    <w:rsid w:val="00567A51"/>
    <w:rsid w:val="005708AE"/>
    <w:rsid w:val="00570C3C"/>
    <w:rsid w:val="00570F95"/>
    <w:rsid w:val="005713D3"/>
    <w:rsid w:val="00571516"/>
    <w:rsid w:val="005716D2"/>
    <w:rsid w:val="00571EEB"/>
    <w:rsid w:val="00571F24"/>
    <w:rsid w:val="00572864"/>
    <w:rsid w:val="0057319C"/>
    <w:rsid w:val="00573785"/>
    <w:rsid w:val="00573806"/>
    <w:rsid w:val="00573BA2"/>
    <w:rsid w:val="005742DD"/>
    <w:rsid w:val="005745C7"/>
    <w:rsid w:val="00574A22"/>
    <w:rsid w:val="00574A36"/>
    <w:rsid w:val="00574D53"/>
    <w:rsid w:val="00574EBC"/>
    <w:rsid w:val="00574EC4"/>
    <w:rsid w:val="00575014"/>
    <w:rsid w:val="005752A7"/>
    <w:rsid w:val="00575425"/>
    <w:rsid w:val="00575441"/>
    <w:rsid w:val="0057567E"/>
    <w:rsid w:val="005757E1"/>
    <w:rsid w:val="00575D46"/>
    <w:rsid w:val="0057600E"/>
    <w:rsid w:val="0057618B"/>
    <w:rsid w:val="005767F9"/>
    <w:rsid w:val="00576966"/>
    <w:rsid w:val="00577EC6"/>
    <w:rsid w:val="00580373"/>
    <w:rsid w:val="00580604"/>
    <w:rsid w:val="00580980"/>
    <w:rsid w:val="00581338"/>
    <w:rsid w:val="005815CE"/>
    <w:rsid w:val="00581853"/>
    <w:rsid w:val="0058205A"/>
    <w:rsid w:val="00582740"/>
    <w:rsid w:val="0058292C"/>
    <w:rsid w:val="00582B60"/>
    <w:rsid w:val="00582C52"/>
    <w:rsid w:val="00583101"/>
    <w:rsid w:val="00583173"/>
    <w:rsid w:val="005832E7"/>
    <w:rsid w:val="00583961"/>
    <w:rsid w:val="00583EFC"/>
    <w:rsid w:val="005843B6"/>
    <w:rsid w:val="00584610"/>
    <w:rsid w:val="005848BB"/>
    <w:rsid w:val="005848E1"/>
    <w:rsid w:val="0058507D"/>
    <w:rsid w:val="0058569C"/>
    <w:rsid w:val="005856F9"/>
    <w:rsid w:val="00585B08"/>
    <w:rsid w:val="00585D42"/>
    <w:rsid w:val="0058603A"/>
    <w:rsid w:val="00586827"/>
    <w:rsid w:val="0058686A"/>
    <w:rsid w:val="00586B4A"/>
    <w:rsid w:val="00586D10"/>
    <w:rsid w:val="005874E9"/>
    <w:rsid w:val="005875E9"/>
    <w:rsid w:val="0058785D"/>
    <w:rsid w:val="00587A6A"/>
    <w:rsid w:val="00587F44"/>
    <w:rsid w:val="0059007B"/>
    <w:rsid w:val="005900D1"/>
    <w:rsid w:val="0059058B"/>
    <w:rsid w:val="0059078D"/>
    <w:rsid w:val="00590B5C"/>
    <w:rsid w:val="005910E2"/>
    <w:rsid w:val="005913E1"/>
    <w:rsid w:val="005919A8"/>
    <w:rsid w:val="005919B8"/>
    <w:rsid w:val="00591D11"/>
    <w:rsid w:val="00591ED5"/>
    <w:rsid w:val="00592381"/>
    <w:rsid w:val="0059254F"/>
    <w:rsid w:val="0059285D"/>
    <w:rsid w:val="00592DAD"/>
    <w:rsid w:val="00593202"/>
    <w:rsid w:val="005933DF"/>
    <w:rsid w:val="005935FF"/>
    <w:rsid w:val="0059364D"/>
    <w:rsid w:val="005936BE"/>
    <w:rsid w:val="005938D0"/>
    <w:rsid w:val="00593D3F"/>
    <w:rsid w:val="00594062"/>
    <w:rsid w:val="00594196"/>
    <w:rsid w:val="005944F2"/>
    <w:rsid w:val="005947BE"/>
    <w:rsid w:val="00595361"/>
    <w:rsid w:val="00596108"/>
    <w:rsid w:val="0059616A"/>
    <w:rsid w:val="00596899"/>
    <w:rsid w:val="00596967"/>
    <w:rsid w:val="0059720E"/>
    <w:rsid w:val="005973C6"/>
    <w:rsid w:val="0059752A"/>
    <w:rsid w:val="005976C8"/>
    <w:rsid w:val="00597AD4"/>
    <w:rsid w:val="00597C50"/>
    <w:rsid w:val="005A0121"/>
    <w:rsid w:val="005A038A"/>
    <w:rsid w:val="005A0579"/>
    <w:rsid w:val="005A0BF6"/>
    <w:rsid w:val="005A0D11"/>
    <w:rsid w:val="005A0E30"/>
    <w:rsid w:val="005A130F"/>
    <w:rsid w:val="005A1720"/>
    <w:rsid w:val="005A201C"/>
    <w:rsid w:val="005A204B"/>
    <w:rsid w:val="005A213B"/>
    <w:rsid w:val="005A2337"/>
    <w:rsid w:val="005A242C"/>
    <w:rsid w:val="005A266D"/>
    <w:rsid w:val="005A2BAF"/>
    <w:rsid w:val="005A307B"/>
    <w:rsid w:val="005A3279"/>
    <w:rsid w:val="005A3432"/>
    <w:rsid w:val="005A345F"/>
    <w:rsid w:val="005A346A"/>
    <w:rsid w:val="005A3598"/>
    <w:rsid w:val="005A3CB6"/>
    <w:rsid w:val="005A3DE3"/>
    <w:rsid w:val="005A3F49"/>
    <w:rsid w:val="005A3F6A"/>
    <w:rsid w:val="005A44FB"/>
    <w:rsid w:val="005A47D8"/>
    <w:rsid w:val="005A4A22"/>
    <w:rsid w:val="005A4FD6"/>
    <w:rsid w:val="005A5249"/>
    <w:rsid w:val="005A5275"/>
    <w:rsid w:val="005A55B0"/>
    <w:rsid w:val="005A608A"/>
    <w:rsid w:val="005A62F5"/>
    <w:rsid w:val="005A6AA4"/>
    <w:rsid w:val="005A6E14"/>
    <w:rsid w:val="005A7148"/>
    <w:rsid w:val="005A71E4"/>
    <w:rsid w:val="005A7AE4"/>
    <w:rsid w:val="005A7FBF"/>
    <w:rsid w:val="005B012C"/>
    <w:rsid w:val="005B0219"/>
    <w:rsid w:val="005B06CF"/>
    <w:rsid w:val="005B0967"/>
    <w:rsid w:val="005B0D04"/>
    <w:rsid w:val="005B1123"/>
    <w:rsid w:val="005B13CA"/>
    <w:rsid w:val="005B1467"/>
    <w:rsid w:val="005B15FD"/>
    <w:rsid w:val="005B1603"/>
    <w:rsid w:val="005B1DDA"/>
    <w:rsid w:val="005B2085"/>
    <w:rsid w:val="005B21DA"/>
    <w:rsid w:val="005B22D3"/>
    <w:rsid w:val="005B290E"/>
    <w:rsid w:val="005B2BC6"/>
    <w:rsid w:val="005B2BCC"/>
    <w:rsid w:val="005B3221"/>
    <w:rsid w:val="005B32C2"/>
    <w:rsid w:val="005B342F"/>
    <w:rsid w:val="005B359A"/>
    <w:rsid w:val="005B3B8D"/>
    <w:rsid w:val="005B3BD3"/>
    <w:rsid w:val="005B3DF0"/>
    <w:rsid w:val="005B4A39"/>
    <w:rsid w:val="005B5203"/>
    <w:rsid w:val="005B52B2"/>
    <w:rsid w:val="005B55F8"/>
    <w:rsid w:val="005B5A18"/>
    <w:rsid w:val="005B5A1B"/>
    <w:rsid w:val="005B5B2A"/>
    <w:rsid w:val="005B5D05"/>
    <w:rsid w:val="005B5F06"/>
    <w:rsid w:val="005B61AC"/>
    <w:rsid w:val="005B6276"/>
    <w:rsid w:val="005B64FC"/>
    <w:rsid w:val="005B6596"/>
    <w:rsid w:val="005B65E7"/>
    <w:rsid w:val="005B65FA"/>
    <w:rsid w:val="005B69A4"/>
    <w:rsid w:val="005B6DC4"/>
    <w:rsid w:val="005B6E2D"/>
    <w:rsid w:val="005B6FE9"/>
    <w:rsid w:val="005B7105"/>
    <w:rsid w:val="005B7A1B"/>
    <w:rsid w:val="005B7AA4"/>
    <w:rsid w:val="005B7C59"/>
    <w:rsid w:val="005B7FF7"/>
    <w:rsid w:val="005C010D"/>
    <w:rsid w:val="005C01EE"/>
    <w:rsid w:val="005C07B4"/>
    <w:rsid w:val="005C0A94"/>
    <w:rsid w:val="005C0AEA"/>
    <w:rsid w:val="005C0D01"/>
    <w:rsid w:val="005C0FB9"/>
    <w:rsid w:val="005C1353"/>
    <w:rsid w:val="005C1523"/>
    <w:rsid w:val="005C16F2"/>
    <w:rsid w:val="005C1771"/>
    <w:rsid w:val="005C298A"/>
    <w:rsid w:val="005C2BBB"/>
    <w:rsid w:val="005C2D79"/>
    <w:rsid w:val="005C323A"/>
    <w:rsid w:val="005C3586"/>
    <w:rsid w:val="005C3BF9"/>
    <w:rsid w:val="005C4574"/>
    <w:rsid w:val="005C48A4"/>
    <w:rsid w:val="005C49ED"/>
    <w:rsid w:val="005C4A30"/>
    <w:rsid w:val="005C4AC9"/>
    <w:rsid w:val="005C50F8"/>
    <w:rsid w:val="005C5428"/>
    <w:rsid w:val="005C54B2"/>
    <w:rsid w:val="005C55C0"/>
    <w:rsid w:val="005C56C6"/>
    <w:rsid w:val="005C5B2E"/>
    <w:rsid w:val="005C607B"/>
    <w:rsid w:val="005C63BA"/>
    <w:rsid w:val="005C641D"/>
    <w:rsid w:val="005C6677"/>
    <w:rsid w:val="005C6685"/>
    <w:rsid w:val="005C66D6"/>
    <w:rsid w:val="005C6E21"/>
    <w:rsid w:val="005C75AB"/>
    <w:rsid w:val="005C77DC"/>
    <w:rsid w:val="005C78F2"/>
    <w:rsid w:val="005C7DBA"/>
    <w:rsid w:val="005D06A1"/>
    <w:rsid w:val="005D0A94"/>
    <w:rsid w:val="005D0CEF"/>
    <w:rsid w:val="005D1061"/>
    <w:rsid w:val="005D10C6"/>
    <w:rsid w:val="005D118E"/>
    <w:rsid w:val="005D1E0F"/>
    <w:rsid w:val="005D210C"/>
    <w:rsid w:val="005D24CC"/>
    <w:rsid w:val="005D260B"/>
    <w:rsid w:val="005D29BD"/>
    <w:rsid w:val="005D2FB6"/>
    <w:rsid w:val="005D38A8"/>
    <w:rsid w:val="005D3EBC"/>
    <w:rsid w:val="005D4187"/>
    <w:rsid w:val="005D4215"/>
    <w:rsid w:val="005D4B85"/>
    <w:rsid w:val="005D4D1B"/>
    <w:rsid w:val="005D4D95"/>
    <w:rsid w:val="005D57DB"/>
    <w:rsid w:val="005D5A17"/>
    <w:rsid w:val="005D5AC5"/>
    <w:rsid w:val="005D5E6D"/>
    <w:rsid w:val="005D6398"/>
    <w:rsid w:val="005D672D"/>
    <w:rsid w:val="005D67F9"/>
    <w:rsid w:val="005D6B4F"/>
    <w:rsid w:val="005D70D1"/>
    <w:rsid w:val="005D7214"/>
    <w:rsid w:val="005D764C"/>
    <w:rsid w:val="005D77CF"/>
    <w:rsid w:val="005D7A1A"/>
    <w:rsid w:val="005D7CC3"/>
    <w:rsid w:val="005E01E5"/>
    <w:rsid w:val="005E02B2"/>
    <w:rsid w:val="005E0AF1"/>
    <w:rsid w:val="005E1518"/>
    <w:rsid w:val="005E189A"/>
    <w:rsid w:val="005E18ED"/>
    <w:rsid w:val="005E1C9F"/>
    <w:rsid w:val="005E1F39"/>
    <w:rsid w:val="005E1F67"/>
    <w:rsid w:val="005E21B7"/>
    <w:rsid w:val="005E23E3"/>
    <w:rsid w:val="005E2E2E"/>
    <w:rsid w:val="005E328E"/>
    <w:rsid w:val="005E329E"/>
    <w:rsid w:val="005E39AD"/>
    <w:rsid w:val="005E3A40"/>
    <w:rsid w:val="005E3B01"/>
    <w:rsid w:val="005E3F6F"/>
    <w:rsid w:val="005E3FBB"/>
    <w:rsid w:val="005E4067"/>
    <w:rsid w:val="005E40D9"/>
    <w:rsid w:val="005E4D94"/>
    <w:rsid w:val="005E4EEA"/>
    <w:rsid w:val="005E569E"/>
    <w:rsid w:val="005E56A8"/>
    <w:rsid w:val="005E5885"/>
    <w:rsid w:val="005E5993"/>
    <w:rsid w:val="005E5A3A"/>
    <w:rsid w:val="005E6559"/>
    <w:rsid w:val="005E6EB5"/>
    <w:rsid w:val="005E70D7"/>
    <w:rsid w:val="005E723C"/>
    <w:rsid w:val="005E777B"/>
    <w:rsid w:val="005E7DCC"/>
    <w:rsid w:val="005F0185"/>
    <w:rsid w:val="005F035E"/>
    <w:rsid w:val="005F061C"/>
    <w:rsid w:val="005F106E"/>
    <w:rsid w:val="005F1E62"/>
    <w:rsid w:val="005F1EBC"/>
    <w:rsid w:val="005F1F57"/>
    <w:rsid w:val="005F2355"/>
    <w:rsid w:val="005F2A52"/>
    <w:rsid w:val="005F2B36"/>
    <w:rsid w:val="005F2FE3"/>
    <w:rsid w:val="005F3395"/>
    <w:rsid w:val="005F33C9"/>
    <w:rsid w:val="005F3402"/>
    <w:rsid w:val="005F3692"/>
    <w:rsid w:val="005F3847"/>
    <w:rsid w:val="005F3CD4"/>
    <w:rsid w:val="005F4BE4"/>
    <w:rsid w:val="005F4C55"/>
    <w:rsid w:val="005F547A"/>
    <w:rsid w:val="005F559E"/>
    <w:rsid w:val="005F5EB8"/>
    <w:rsid w:val="005F6363"/>
    <w:rsid w:val="005F6E98"/>
    <w:rsid w:val="005F6EB6"/>
    <w:rsid w:val="005F70FC"/>
    <w:rsid w:val="005F7246"/>
    <w:rsid w:val="005F75B2"/>
    <w:rsid w:val="005F7637"/>
    <w:rsid w:val="0060010F"/>
    <w:rsid w:val="00600DB8"/>
    <w:rsid w:val="00600EFE"/>
    <w:rsid w:val="0060100C"/>
    <w:rsid w:val="00601245"/>
    <w:rsid w:val="0060144A"/>
    <w:rsid w:val="00601FFB"/>
    <w:rsid w:val="006024C2"/>
    <w:rsid w:val="00602971"/>
    <w:rsid w:val="00602DD8"/>
    <w:rsid w:val="00602E21"/>
    <w:rsid w:val="00602E93"/>
    <w:rsid w:val="006038A0"/>
    <w:rsid w:val="006042E5"/>
    <w:rsid w:val="006045EB"/>
    <w:rsid w:val="00604B2E"/>
    <w:rsid w:val="00604F86"/>
    <w:rsid w:val="006053D9"/>
    <w:rsid w:val="00605466"/>
    <w:rsid w:val="0060556E"/>
    <w:rsid w:val="006057F5"/>
    <w:rsid w:val="00605B0B"/>
    <w:rsid w:val="00606596"/>
    <w:rsid w:val="00606909"/>
    <w:rsid w:val="00606945"/>
    <w:rsid w:val="00606A92"/>
    <w:rsid w:val="006072E2"/>
    <w:rsid w:val="006072FF"/>
    <w:rsid w:val="006073D6"/>
    <w:rsid w:val="00607492"/>
    <w:rsid w:val="00607574"/>
    <w:rsid w:val="00607EDD"/>
    <w:rsid w:val="0061010A"/>
    <w:rsid w:val="00610526"/>
    <w:rsid w:val="00610577"/>
    <w:rsid w:val="00610E5F"/>
    <w:rsid w:val="00610F3E"/>
    <w:rsid w:val="0061114B"/>
    <w:rsid w:val="006111BA"/>
    <w:rsid w:val="00611898"/>
    <w:rsid w:val="00611B71"/>
    <w:rsid w:val="006124A5"/>
    <w:rsid w:val="00612C63"/>
    <w:rsid w:val="00612ED2"/>
    <w:rsid w:val="006133E8"/>
    <w:rsid w:val="006138A6"/>
    <w:rsid w:val="00613AC9"/>
    <w:rsid w:val="00613AEC"/>
    <w:rsid w:val="006143B1"/>
    <w:rsid w:val="006145C0"/>
    <w:rsid w:val="0061467F"/>
    <w:rsid w:val="00614991"/>
    <w:rsid w:val="00614A3E"/>
    <w:rsid w:val="00614C69"/>
    <w:rsid w:val="00614D2B"/>
    <w:rsid w:val="0061519D"/>
    <w:rsid w:val="0061557F"/>
    <w:rsid w:val="00615CAE"/>
    <w:rsid w:val="00616041"/>
    <w:rsid w:val="00616C99"/>
    <w:rsid w:val="00616DE2"/>
    <w:rsid w:val="006173E4"/>
    <w:rsid w:val="00617864"/>
    <w:rsid w:val="00617DFF"/>
    <w:rsid w:val="00617E05"/>
    <w:rsid w:val="00617E26"/>
    <w:rsid w:val="0062080A"/>
    <w:rsid w:val="00620850"/>
    <w:rsid w:val="00620D69"/>
    <w:rsid w:val="0062104E"/>
    <w:rsid w:val="006210E7"/>
    <w:rsid w:val="0062128D"/>
    <w:rsid w:val="006215B4"/>
    <w:rsid w:val="006217B8"/>
    <w:rsid w:val="006219DB"/>
    <w:rsid w:val="006219F1"/>
    <w:rsid w:val="00621A16"/>
    <w:rsid w:val="00621A28"/>
    <w:rsid w:val="00621AD9"/>
    <w:rsid w:val="00621C3E"/>
    <w:rsid w:val="00621E42"/>
    <w:rsid w:val="0062208A"/>
    <w:rsid w:val="00622194"/>
    <w:rsid w:val="006229B1"/>
    <w:rsid w:val="006229B6"/>
    <w:rsid w:val="006229C1"/>
    <w:rsid w:val="00622BD5"/>
    <w:rsid w:val="00622DA5"/>
    <w:rsid w:val="006231F2"/>
    <w:rsid w:val="00623220"/>
    <w:rsid w:val="00623AC2"/>
    <w:rsid w:val="00625232"/>
    <w:rsid w:val="00625555"/>
    <w:rsid w:val="0062568E"/>
    <w:rsid w:val="006266A0"/>
    <w:rsid w:val="00626C1D"/>
    <w:rsid w:val="00627065"/>
    <w:rsid w:val="006270E7"/>
    <w:rsid w:val="00627389"/>
    <w:rsid w:val="00627AA1"/>
    <w:rsid w:val="006300D1"/>
    <w:rsid w:val="0063068B"/>
    <w:rsid w:val="0063103E"/>
    <w:rsid w:val="00631320"/>
    <w:rsid w:val="00631425"/>
    <w:rsid w:val="00631D46"/>
    <w:rsid w:val="006321A2"/>
    <w:rsid w:val="006323A1"/>
    <w:rsid w:val="006324D9"/>
    <w:rsid w:val="006326AB"/>
    <w:rsid w:val="00632E89"/>
    <w:rsid w:val="00632FFC"/>
    <w:rsid w:val="006337C3"/>
    <w:rsid w:val="00633AA8"/>
    <w:rsid w:val="00633AD6"/>
    <w:rsid w:val="00633BD2"/>
    <w:rsid w:val="00633C37"/>
    <w:rsid w:val="00633F50"/>
    <w:rsid w:val="00633FDF"/>
    <w:rsid w:val="006340A2"/>
    <w:rsid w:val="00634745"/>
    <w:rsid w:val="00634A05"/>
    <w:rsid w:val="00634C6A"/>
    <w:rsid w:val="00634DDE"/>
    <w:rsid w:val="00634E1C"/>
    <w:rsid w:val="006350A5"/>
    <w:rsid w:val="00635AD5"/>
    <w:rsid w:val="00635C20"/>
    <w:rsid w:val="0063602E"/>
    <w:rsid w:val="006361B4"/>
    <w:rsid w:val="0063627B"/>
    <w:rsid w:val="00637230"/>
    <w:rsid w:val="0063786E"/>
    <w:rsid w:val="00637945"/>
    <w:rsid w:val="00637BA3"/>
    <w:rsid w:val="0064037A"/>
    <w:rsid w:val="006404ED"/>
    <w:rsid w:val="00640507"/>
    <w:rsid w:val="0064059B"/>
    <w:rsid w:val="006405FD"/>
    <w:rsid w:val="00640641"/>
    <w:rsid w:val="006409C4"/>
    <w:rsid w:val="00640A70"/>
    <w:rsid w:val="00640BC5"/>
    <w:rsid w:val="00640C14"/>
    <w:rsid w:val="00640C61"/>
    <w:rsid w:val="00640E18"/>
    <w:rsid w:val="00640EFE"/>
    <w:rsid w:val="00640F7C"/>
    <w:rsid w:val="006411FD"/>
    <w:rsid w:val="006412AD"/>
    <w:rsid w:val="006419BB"/>
    <w:rsid w:val="00641EB5"/>
    <w:rsid w:val="00642326"/>
    <w:rsid w:val="0064237B"/>
    <w:rsid w:val="006423DF"/>
    <w:rsid w:val="0064290E"/>
    <w:rsid w:val="00642D07"/>
    <w:rsid w:val="00643050"/>
    <w:rsid w:val="00643A2D"/>
    <w:rsid w:val="00643CD6"/>
    <w:rsid w:val="00643E43"/>
    <w:rsid w:val="0064414E"/>
    <w:rsid w:val="00644246"/>
    <w:rsid w:val="00644323"/>
    <w:rsid w:val="0064435C"/>
    <w:rsid w:val="006445A3"/>
    <w:rsid w:val="00644D6C"/>
    <w:rsid w:val="00644EDA"/>
    <w:rsid w:val="00644F14"/>
    <w:rsid w:val="006450E4"/>
    <w:rsid w:val="0064557B"/>
    <w:rsid w:val="006455AD"/>
    <w:rsid w:val="006457EA"/>
    <w:rsid w:val="006464DE"/>
    <w:rsid w:val="00646519"/>
    <w:rsid w:val="00646DD5"/>
    <w:rsid w:val="0064761E"/>
    <w:rsid w:val="0064785F"/>
    <w:rsid w:val="006504C5"/>
    <w:rsid w:val="00650518"/>
    <w:rsid w:val="0065059B"/>
    <w:rsid w:val="0065073E"/>
    <w:rsid w:val="00650905"/>
    <w:rsid w:val="00651103"/>
    <w:rsid w:val="00651483"/>
    <w:rsid w:val="00651B22"/>
    <w:rsid w:val="00651EAB"/>
    <w:rsid w:val="0065239D"/>
    <w:rsid w:val="0065269B"/>
    <w:rsid w:val="00652AC1"/>
    <w:rsid w:val="00652C28"/>
    <w:rsid w:val="00652E26"/>
    <w:rsid w:val="006530B0"/>
    <w:rsid w:val="00653327"/>
    <w:rsid w:val="006533DD"/>
    <w:rsid w:val="006539CD"/>
    <w:rsid w:val="00653E5B"/>
    <w:rsid w:val="0065437B"/>
    <w:rsid w:val="00654448"/>
    <w:rsid w:val="00654CCC"/>
    <w:rsid w:val="00654E9D"/>
    <w:rsid w:val="006556E0"/>
    <w:rsid w:val="006559A6"/>
    <w:rsid w:val="00655E02"/>
    <w:rsid w:val="00655F27"/>
    <w:rsid w:val="00655FE0"/>
    <w:rsid w:val="00656081"/>
    <w:rsid w:val="00656202"/>
    <w:rsid w:val="0065660B"/>
    <w:rsid w:val="00656676"/>
    <w:rsid w:val="00656C87"/>
    <w:rsid w:val="00657367"/>
    <w:rsid w:val="006573E2"/>
    <w:rsid w:val="0065750A"/>
    <w:rsid w:val="0065760E"/>
    <w:rsid w:val="0065771F"/>
    <w:rsid w:val="0065793E"/>
    <w:rsid w:val="00657AD0"/>
    <w:rsid w:val="00657C78"/>
    <w:rsid w:val="00657E4A"/>
    <w:rsid w:val="00660737"/>
    <w:rsid w:val="00660BDE"/>
    <w:rsid w:val="00661727"/>
    <w:rsid w:val="00661A05"/>
    <w:rsid w:val="00662229"/>
    <w:rsid w:val="00662ED8"/>
    <w:rsid w:val="006635A5"/>
    <w:rsid w:val="00663A3C"/>
    <w:rsid w:val="00663C9B"/>
    <w:rsid w:val="0066406F"/>
    <w:rsid w:val="0066444F"/>
    <w:rsid w:val="00664DC3"/>
    <w:rsid w:val="00664F4C"/>
    <w:rsid w:val="006652B3"/>
    <w:rsid w:val="006654AB"/>
    <w:rsid w:val="00665740"/>
    <w:rsid w:val="006657FF"/>
    <w:rsid w:val="00665BA7"/>
    <w:rsid w:val="00665BB5"/>
    <w:rsid w:val="006664E6"/>
    <w:rsid w:val="006666EF"/>
    <w:rsid w:val="0066672B"/>
    <w:rsid w:val="006667BE"/>
    <w:rsid w:val="00666817"/>
    <w:rsid w:val="006669EA"/>
    <w:rsid w:val="00666A32"/>
    <w:rsid w:val="00666A5D"/>
    <w:rsid w:val="00666BE2"/>
    <w:rsid w:val="00666D7E"/>
    <w:rsid w:val="006670E5"/>
    <w:rsid w:val="0066710B"/>
    <w:rsid w:val="00667790"/>
    <w:rsid w:val="00667836"/>
    <w:rsid w:val="006679C7"/>
    <w:rsid w:val="00667FB2"/>
    <w:rsid w:val="00670AB6"/>
    <w:rsid w:val="00671BA5"/>
    <w:rsid w:val="00671EFB"/>
    <w:rsid w:val="00672283"/>
    <w:rsid w:val="00672311"/>
    <w:rsid w:val="00672592"/>
    <w:rsid w:val="006725E4"/>
    <w:rsid w:val="0067283A"/>
    <w:rsid w:val="00672BDA"/>
    <w:rsid w:val="00672D30"/>
    <w:rsid w:val="00673477"/>
    <w:rsid w:val="00673750"/>
    <w:rsid w:val="00673D22"/>
    <w:rsid w:val="00673F96"/>
    <w:rsid w:val="00674290"/>
    <w:rsid w:val="00674319"/>
    <w:rsid w:val="006746F6"/>
    <w:rsid w:val="00674932"/>
    <w:rsid w:val="00674AED"/>
    <w:rsid w:val="00674D3A"/>
    <w:rsid w:val="00674DFC"/>
    <w:rsid w:val="00674EF6"/>
    <w:rsid w:val="00675495"/>
    <w:rsid w:val="006756D7"/>
    <w:rsid w:val="00675915"/>
    <w:rsid w:val="00675CE0"/>
    <w:rsid w:val="00675E82"/>
    <w:rsid w:val="00676283"/>
    <w:rsid w:val="006763DC"/>
    <w:rsid w:val="00676970"/>
    <w:rsid w:val="00676B91"/>
    <w:rsid w:val="00676C1C"/>
    <w:rsid w:val="00677331"/>
    <w:rsid w:val="00677597"/>
    <w:rsid w:val="00677635"/>
    <w:rsid w:val="006776FD"/>
    <w:rsid w:val="00677827"/>
    <w:rsid w:val="006778DE"/>
    <w:rsid w:val="00677A45"/>
    <w:rsid w:val="00677A5C"/>
    <w:rsid w:val="0068048B"/>
    <w:rsid w:val="0068069A"/>
    <w:rsid w:val="00680B5A"/>
    <w:rsid w:val="00680E87"/>
    <w:rsid w:val="00681196"/>
    <w:rsid w:val="006811BC"/>
    <w:rsid w:val="00681659"/>
    <w:rsid w:val="00681806"/>
    <w:rsid w:val="00681EB6"/>
    <w:rsid w:val="006825F3"/>
    <w:rsid w:val="00682756"/>
    <w:rsid w:val="00682FE6"/>
    <w:rsid w:val="006834E9"/>
    <w:rsid w:val="00683591"/>
    <w:rsid w:val="006836F9"/>
    <w:rsid w:val="00683802"/>
    <w:rsid w:val="00683A74"/>
    <w:rsid w:val="00684199"/>
    <w:rsid w:val="006841B0"/>
    <w:rsid w:val="0068496A"/>
    <w:rsid w:val="00685138"/>
    <w:rsid w:val="0068616B"/>
    <w:rsid w:val="00686693"/>
    <w:rsid w:val="006868A8"/>
    <w:rsid w:val="00686903"/>
    <w:rsid w:val="00686CEE"/>
    <w:rsid w:val="00686E4F"/>
    <w:rsid w:val="006872B0"/>
    <w:rsid w:val="00687680"/>
    <w:rsid w:val="00687A8C"/>
    <w:rsid w:val="00687B02"/>
    <w:rsid w:val="006904D0"/>
    <w:rsid w:val="00690C51"/>
    <w:rsid w:val="006914D7"/>
    <w:rsid w:val="006916DD"/>
    <w:rsid w:val="0069192D"/>
    <w:rsid w:val="00691AB9"/>
    <w:rsid w:val="00691C71"/>
    <w:rsid w:val="00691DE9"/>
    <w:rsid w:val="006921F5"/>
    <w:rsid w:val="00692426"/>
    <w:rsid w:val="00692489"/>
    <w:rsid w:val="0069248F"/>
    <w:rsid w:val="006926FB"/>
    <w:rsid w:val="006927D1"/>
    <w:rsid w:val="00692E39"/>
    <w:rsid w:val="006935F3"/>
    <w:rsid w:val="00693707"/>
    <w:rsid w:val="0069379F"/>
    <w:rsid w:val="006939EE"/>
    <w:rsid w:val="0069426F"/>
    <w:rsid w:val="00694806"/>
    <w:rsid w:val="00694991"/>
    <w:rsid w:val="0069604A"/>
    <w:rsid w:val="006963EB"/>
    <w:rsid w:val="0069643C"/>
    <w:rsid w:val="006967E5"/>
    <w:rsid w:val="00696B44"/>
    <w:rsid w:val="006970C7"/>
    <w:rsid w:val="00697297"/>
    <w:rsid w:val="006973D8"/>
    <w:rsid w:val="006977F5"/>
    <w:rsid w:val="00697C64"/>
    <w:rsid w:val="006A0035"/>
    <w:rsid w:val="006A0096"/>
    <w:rsid w:val="006A0373"/>
    <w:rsid w:val="006A03BF"/>
    <w:rsid w:val="006A0635"/>
    <w:rsid w:val="006A11B8"/>
    <w:rsid w:val="006A1906"/>
    <w:rsid w:val="006A1DEB"/>
    <w:rsid w:val="006A1E2A"/>
    <w:rsid w:val="006A215C"/>
    <w:rsid w:val="006A22E4"/>
    <w:rsid w:val="006A23AE"/>
    <w:rsid w:val="006A2645"/>
    <w:rsid w:val="006A26DE"/>
    <w:rsid w:val="006A28A9"/>
    <w:rsid w:val="006A2BA0"/>
    <w:rsid w:val="006A2D66"/>
    <w:rsid w:val="006A2D75"/>
    <w:rsid w:val="006A2FCA"/>
    <w:rsid w:val="006A3187"/>
    <w:rsid w:val="006A37D7"/>
    <w:rsid w:val="006A3894"/>
    <w:rsid w:val="006A38F5"/>
    <w:rsid w:val="006A3C5F"/>
    <w:rsid w:val="006A42B0"/>
    <w:rsid w:val="006A4752"/>
    <w:rsid w:val="006A494B"/>
    <w:rsid w:val="006A5081"/>
    <w:rsid w:val="006A5150"/>
    <w:rsid w:val="006A5841"/>
    <w:rsid w:val="006A5B03"/>
    <w:rsid w:val="006A5BCD"/>
    <w:rsid w:val="006A5BD5"/>
    <w:rsid w:val="006A5C84"/>
    <w:rsid w:val="006A6153"/>
    <w:rsid w:val="006A657B"/>
    <w:rsid w:val="006A65A7"/>
    <w:rsid w:val="006A666C"/>
    <w:rsid w:val="006A6999"/>
    <w:rsid w:val="006A6F11"/>
    <w:rsid w:val="006A71C6"/>
    <w:rsid w:val="006A71CB"/>
    <w:rsid w:val="006A745E"/>
    <w:rsid w:val="006A78A5"/>
    <w:rsid w:val="006A7A4E"/>
    <w:rsid w:val="006A7FDC"/>
    <w:rsid w:val="006B0190"/>
    <w:rsid w:val="006B070B"/>
    <w:rsid w:val="006B094F"/>
    <w:rsid w:val="006B09F5"/>
    <w:rsid w:val="006B0B33"/>
    <w:rsid w:val="006B0B79"/>
    <w:rsid w:val="006B1945"/>
    <w:rsid w:val="006B1ECF"/>
    <w:rsid w:val="006B2192"/>
    <w:rsid w:val="006B2509"/>
    <w:rsid w:val="006B2EBC"/>
    <w:rsid w:val="006B300C"/>
    <w:rsid w:val="006B338C"/>
    <w:rsid w:val="006B401C"/>
    <w:rsid w:val="006B4E97"/>
    <w:rsid w:val="006B542F"/>
    <w:rsid w:val="006B5A1E"/>
    <w:rsid w:val="006B604A"/>
    <w:rsid w:val="006B67E4"/>
    <w:rsid w:val="006B6977"/>
    <w:rsid w:val="006B6FAD"/>
    <w:rsid w:val="006B73AF"/>
    <w:rsid w:val="006B73EF"/>
    <w:rsid w:val="006B781D"/>
    <w:rsid w:val="006B7B4F"/>
    <w:rsid w:val="006B7BD6"/>
    <w:rsid w:val="006B7CA7"/>
    <w:rsid w:val="006C0185"/>
    <w:rsid w:val="006C01C3"/>
    <w:rsid w:val="006C0C82"/>
    <w:rsid w:val="006C1190"/>
    <w:rsid w:val="006C121A"/>
    <w:rsid w:val="006C1864"/>
    <w:rsid w:val="006C1B24"/>
    <w:rsid w:val="006C1DCF"/>
    <w:rsid w:val="006C3A09"/>
    <w:rsid w:val="006C3A35"/>
    <w:rsid w:val="006C3EE1"/>
    <w:rsid w:val="006C4AF4"/>
    <w:rsid w:val="006C5179"/>
    <w:rsid w:val="006C58B9"/>
    <w:rsid w:val="006C59D2"/>
    <w:rsid w:val="006C59D6"/>
    <w:rsid w:val="006C5CF2"/>
    <w:rsid w:val="006C5F7B"/>
    <w:rsid w:val="006C6C09"/>
    <w:rsid w:val="006C6D83"/>
    <w:rsid w:val="006C7181"/>
    <w:rsid w:val="006C75CE"/>
    <w:rsid w:val="006C7ABE"/>
    <w:rsid w:val="006C7B2D"/>
    <w:rsid w:val="006C7C9B"/>
    <w:rsid w:val="006C7EE2"/>
    <w:rsid w:val="006D0216"/>
    <w:rsid w:val="006D0563"/>
    <w:rsid w:val="006D0851"/>
    <w:rsid w:val="006D08B5"/>
    <w:rsid w:val="006D08BC"/>
    <w:rsid w:val="006D0DCB"/>
    <w:rsid w:val="006D0E01"/>
    <w:rsid w:val="006D1983"/>
    <w:rsid w:val="006D1AF9"/>
    <w:rsid w:val="006D1C4D"/>
    <w:rsid w:val="006D1E4A"/>
    <w:rsid w:val="006D22CA"/>
    <w:rsid w:val="006D2423"/>
    <w:rsid w:val="006D252C"/>
    <w:rsid w:val="006D268A"/>
    <w:rsid w:val="006D289F"/>
    <w:rsid w:val="006D2BE1"/>
    <w:rsid w:val="006D2D9A"/>
    <w:rsid w:val="006D2F20"/>
    <w:rsid w:val="006D2F8C"/>
    <w:rsid w:val="006D345E"/>
    <w:rsid w:val="006D356D"/>
    <w:rsid w:val="006D3A9D"/>
    <w:rsid w:val="006D3EDD"/>
    <w:rsid w:val="006D4004"/>
    <w:rsid w:val="006D440D"/>
    <w:rsid w:val="006D4758"/>
    <w:rsid w:val="006D49EE"/>
    <w:rsid w:val="006D4E54"/>
    <w:rsid w:val="006D51E5"/>
    <w:rsid w:val="006D53FD"/>
    <w:rsid w:val="006D5466"/>
    <w:rsid w:val="006D6398"/>
    <w:rsid w:val="006D6898"/>
    <w:rsid w:val="006D6D19"/>
    <w:rsid w:val="006D6EA2"/>
    <w:rsid w:val="006D6F02"/>
    <w:rsid w:val="006D76AE"/>
    <w:rsid w:val="006D7CD4"/>
    <w:rsid w:val="006D7DC8"/>
    <w:rsid w:val="006D7F87"/>
    <w:rsid w:val="006E0389"/>
    <w:rsid w:val="006E0513"/>
    <w:rsid w:val="006E0638"/>
    <w:rsid w:val="006E0BBD"/>
    <w:rsid w:val="006E1D3D"/>
    <w:rsid w:val="006E1D98"/>
    <w:rsid w:val="006E20EA"/>
    <w:rsid w:val="006E2242"/>
    <w:rsid w:val="006E23C4"/>
    <w:rsid w:val="006E25FC"/>
    <w:rsid w:val="006E2D1A"/>
    <w:rsid w:val="006E32AD"/>
    <w:rsid w:val="006E34F4"/>
    <w:rsid w:val="006E365C"/>
    <w:rsid w:val="006E3CA9"/>
    <w:rsid w:val="006E3D76"/>
    <w:rsid w:val="006E3DF9"/>
    <w:rsid w:val="006E3E7E"/>
    <w:rsid w:val="006E4292"/>
    <w:rsid w:val="006E42A2"/>
    <w:rsid w:val="006E444B"/>
    <w:rsid w:val="006E49CF"/>
    <w:rsid w:val="006E52CA"/>
    <w:rsid w:val="006E5313"/>
    <w:rsid w:val="006E5949"/>
    <w:rsid w:val="006E5C26"/>
    <w:rsid w:val="006E5E17"/>
    <w:rsid w:val="006E6061"/>
    <w:rsid w:val="006E6420"/>
    <w:rsid w:val="006E6488"/>
    <w:rsid w:val="006E6596"/>
    <w:rsid w:val="006E67ED"/>
    <w:rsid w:val="006E68FA"/>
    <w:rsid w:val="006E6B5E"/>
    <w:rsid w:val="006E6DF9"/>
    <w:rsid w:val="006E6F65"/>
    <w:rsid w:val="006E71AD"/>
    <w:rsid w:val="006E7F2C"/>
    <w:rsid w:val="006F0567"/>
    <w:rsid w:val="006F0C27"/>
    <w:rsid w:val="006F0E31"/>
    <w:rsid w:val="006F116D"/>
    <w:rsid w:val="006F1353"/>
    <w:rsid w:val="006F15B7"/>
    <w:rsid w:val="006F1808"/>
    <w:rsid w:val="006F1A02"/>
    <w:rsid w:val="006F1E80"/>
    <w:rsid w:val="006F20A7"/>
    <w:rsid w:val="006F2183"/>
    <w:rsid w:val="006F2258"/>
    <w:rsid w:val="006F241A"/>
    <w:rsid w:val="006F26C3"/>
    <w:rsid w:val="006F2C95"/>
    <w:rsid w:val="006F2E6F"/>
    <w:rsid w:val="006F2FA2"/>
    <w:rsid w:val="006F2FB1"/>
    <w:rsid w:val="006F322C"/>
    <w:rsid w:val="006F38BE"/>
    <w:rsid w:val="006F46A0"/>
    <w:rsid w:val="006F4CFE"/>
    <w:rsid w:val="006F4DCB"/>
    <w:rsid w:val="006F4DD9"/>
    <w:rsid w:val="006F5076"/>
    <w:rsid w:val="006F52F7"/>
    <w:rsid w:val="006F54CF"/>
    <w:rsid w:val="006F58EC"/>
    <w:rsid w:val="006F59F7"/>
    <w:rsid w:val="006F5A39"/>
    <w:rsid w:val="006F5ED4"/>
    <w:rsid w:val="006F60E1"/>
    <w:rsid w:val="006F682D"/>
    <w:rsid w:val="006F69FC"/>
    <w:rsid w:val="006F7168"/>
    <w:rsid w:val="006F7516"/>
    <w:rsid w:val="006F7B43"/>
    <w:rsid w:val="006F7CD9"/>
    <w:rsid w:val="006F7DBA"/>
    <w:rsid w:val="0070014C"/>
    <w:rsid w:val="0070047F"/>
    <w:rsid w:val="007004E7"/>
    <w:rsid w:val="007005BB"/>
    <w:rsid w:val="00700D82"/>
    <w:rsid w:val="00700E7A"/>
    <w:rsid w:val="00700F76"/>
    <w:rsid w:val="00700FAA"/>
    <w:rsid w:val="00701972"/>
    <w:rsid w:val="00701AD8"/>
    <w:rsid w:val="0070267D"/>
    <w:rsid w:val="0070282E"/>
    <w:rsid w:val="00703016"/>
    <w:rsid w:val="007032D5"/>
    <w:rsid w:val="0070383A"/>
    <w:rsid w:val="0070388D"/>
    <w:rsid w:val="00704392"/>
    <w:rsid w:val="00704790"/>
    <w:rsid w:val="00704BDC"/>
    <w:rsid w:val="007052E7"/>
    <w:rsid w:val="007053FC"/>
    <w:rsid w:val="00705950"/>
    <w:rsid w:val="00705E0E"/>
    <w:rsid w:val="00705F5A"/>
    <w:rsid w:val="00705F7E"/>
    <w:rsid w:val="00706197"/>
    <w:rsid w:val="007063A6"/>
    <w:rsid w:val="00706844"/>
    <w:rsid w:val="0070699B"/>
    <w:rsid w:val="00706BCF"/>
    <w:rsid w:val="00706C4E"/>
    <w:rsid w:val="0070732F"/>
    <w:rsid w:val="00710508"/>
    <w:rsid w:val="00711727"/>
    <w:rsid w:val="00711AE5"/>
    <w:rsid w:val="00711DDC"/>
    <w:rsid w:val="00712197"/>
    <w:rsid w:val="00712213"/>
    <w:rsid w:val="00712723"/>
    <w:rsid w:val="00712877"/>
    <w:rsid w:val="00712997"/>
    <w:rsid w:val="007129AA"/>
    <w:rsid w:val="00712B52"/>
    <w:rsid w:val="00712ED7"/>
    <w:rsid w:val="00713194"/>
    <w:rsid w:val="0071365C"/>
    <w:rsid w:val="00713860"/>
    <w:rsid w:val="00714076"/>
    <w:rsid w:val="00714330"/>
    <w:rsid w:val="00714694"/>
    <w:rsid w:val="007147AA"/>
    <w:rsid w:val="007149A1"/>
    <w:rsid w:val="00714F14"/>
    <w:rsid w:val="0071508A"/>
    <w:rsid w:val="00715BF4"/>
    <w:rsid w:val="007160AF"/>
    <w:rsid w:val="00716105"/>
    <w:rsid w:val="007163AE"/>
    <w:rsid w:val="00716422"/>
    <w:rsid w:val="0071644B"/>
    <w:rsid w:val="007168D7"/>
    <w:rsid w:val="00716E6C"/>
    <w:rsid w:val="0071770C"/>
    <w:rsid w:val="007203FD"/>
    <w:rsid w:val="00720910"/>
    <w:rsid w:val="00721251"/>
    <w:rsid w:val="0072148B"/>
    <w:rsid w:val="007214C6"/>
    <w:rsid w:val="00721834"/>
    <w:rsid w:val="007219A6"/>
    <w:rsid w:val="00721A50"/>
    <w:rsid w:val="0072201C"/>
    <w:rsid w:val="0072258A"/>
    <w:rsid w:val="0072270D"/>
    <w:rsid w:val="007228E9"/>
    <w:rsid w:val="0072296F"/>
    <w:rsid w:val="00722AE7"/>
    <w:rsid w:val="00723658"/>
    <w:rsid w:val="007238DA"/>
    <w:rsid w:val="00723E56"/>
    <w:rsid w:val="00724155"/>
    <w:rsid w:val="007247FC"/>
    <w:rsid w:val="00724B10"/>
    <w:rsid w:val="007251B8"/>
    <w:rsid w:val="0072535C"/>
    <w:rsid w:val="00725370"/>
    <w:rsid w:val="007253AD"/>
    <w:rsid w:val="00725615"/>
    <w:rsid w:val="00725A2D"/>
    <w:rsid w:val="00725ABB"/>
    <w:rsid w:val="0072616F"/>
    <w:rsid w:val="007262E3"/>
    <w:rsid w:val="00726479"/>
    <w:rsid w:val="00726947"/>
    <w:rsid w:val="00726B7B"/>
    <w:rsid w:val="007270A5"/>
    <w:rsid w:val="007275B3"/>
    <w:rsid w:val="00727B30"/>
    <w:rsid w:val="00727D4C"/>
    <w:rsid w:val="00727E01"/>
    <w:rsid w:val="007300D2"/>
    <w:rsid w:val="00730201"/>
    <w:rsid w:val="0073028B"/>
    <w:rsid w:val="00730543"/>
    <w:rsid w:val="00730631"/>
    <w:rsid w:val="00730908"/>
    <w:rsid w:val="0073105C"/>
    <w:rsid w:val="00731A9C"/>
    <w:rsid w:val="00731B14"/>
    <w:rsid w:val="00731D2D"/>
    <w:rsid w:val="007321A1"/>
    <w:rsid w:val="007322FF"/>
    <w:rsid w:val="00732513"/>
    <w:rsid w:val="00732576"/>
    <w:rsid w:val="00732835"/>
    <w:rsid w:val="0073332B"/>
    <w:rsid w:val="007334BE"/>
    <w:rsid w:val="00733C45"/>
    <w:rsid w:val="00733DA7"/>
    <w:rsid w:val="00733EE9"/>
    <w:rsid w:val="007340FE"/>
    <w:rsid w:val="007342C3"/>
    <w:rsid w:val="00734994"/>
    <w:rsid w:val="007358B6"/>
    <w:rsid w:val="00735B8E"/>
    <w:rsid w:val="00735BDA"/>
    <w:rsid w:val="00735CF2"/>
    <w:rsid w:val="00735DEA"/>
    <w:rsid w:val="007363E3"/>
    <w:rsid w:val="00736EF4"/>
    <w:rsid w:val="00736F41"/>
    <w:rsid w:val="00737492"/>
    <w:rsid w:val="007376BE"/>
    <w:rsid w:val="0073776C"/>
    <w:rsid w:val="00737EC8"/>
    <w:rsid w:val="0074015D"/>
    <w:rsid w:val="007401D3"/>
    <w:rsid w:val="00740412"/>
    <w:rsid w:val="00740A41"/>
    <w:rsid w:val="00740BCA"/>
    <w:rsid w:val="00740C84"/>
    <w:rsid w:val="00740CB8"/>
    <w:rsid w:val="00740EF3"/>
    <w:rsid w:val="00740F18"/>
    <w:rsid w:val="0074159A"/>
    <w:rsid w:val="007415C9"/>
    <w:rsid w:val="00741676"/>
    <w:rsid w:val="00741843"/>
    <w:rsid w:val="007418AD"/>
    <w:rsid w:val="00741AD6"/>
    <w:rsid w:val="00741DE5"/>
    <w:rsid w:val="007420F0"/>
    <w:rsid w:val="00742207"/>
    <w:rsid w:val="0074221F"/>
    <w:rsid w:val="007424A4"/>
    <w:rsid w:val="00742526"/>
    <w:rsid w:val="00742F90"/>
    <w:rsid w:val="0074372A"/>
    <w:rsid w:val="0074401B"/>
    <w:rsid w:val="00744894"/>
    <w:rsid w:val="00745A50"/>
    <w:rsid w:val="00745E5B"/>
    <w:rsid w:val="00745F37"/>
    <w:rsid w:val="00746304"/>
    <w:rsid w:val="0074646B"/>
    <w:rsid w:val="00746781"/>
    <w:rsid w:val="00746D32"/>
    <w:rsid w:val="00746DC3"/>
    <w:rsid w:val="007470DD"/>
    <w:rsid w:val="0074749A"/>
    <w:rsid w:val="00747EAB"/>
    <w:rsid w:val="007502EC"/>
    <w:rsid w:val="007506A3"/>
    <w:rsid w:val="007508A6"/>
    <w:rsid w:val="007509CD"/>
    <w:rsid w:val="007516E6"/>
    <w:rsid w:val="007528ED"/>
    <w:rsid w:val="00752D24"/>
    <w:rsid w:val="00752D3A"/>
    <w:rsid w:val="0075310C"/>
    <w:rsid w:val="00753383"/>
    <w:rsid w:val="007537A6"/>
    <w:rsid w:val="00753911"/>
    <w:rsid w:val="00753BD8"/>
    <w:rsid w:val="00753D06"/>
    <w:rsid w:val="00753FCB"/>
    <w:rsid w:val="00754456"/>
    <w:rsid w:val="00754773"/>
    <w:rsid w:val="0075495A"/>
    <w:rsid w:val="00754F15"/>
    <w:rsid w:val="00755F3F"/>
    <w:rsid w:val="00755FA3"/>
    <w:rsid w:val="0075648F"/>
    <w:rsid w:val="00756796"/>
    <w:rsid w:val="0075684A"/>
    <w:rsid w:val="007568AD"/>
    <w:rsid w:val="00756C1E"/>
    <w:rsid w:val="00756D91"/>
    <w:rsid w:val="0075708B"/>
    <w:rsid w:val="0075794E"/>
    <w:rsid w:val="00757DCD"/>
    <w:rsid w:val="007601F0"/>
    <w:rsid w:val="00760798"/>
    <w:rsid w:val="00760EF0"/>
    <w:rsid w:val="00761339"/>
    <w:rsid w:val="007616D9"/>
    <w:rsid w:val="00761772"/>
    <w:rsid w:val="00761C7F"/>
    <w:rsid w:val="007622E6"/>
    <w:rsid w:val="007623D8"/>
    <w:rsid w:val="007625A9"/>
    <w:rsid w:val="007626D7"/>
    <w:rsid w:val="00762846"/>
    <w:rsid w:val="00762BE2"/>
    <w:rsid w:val="00762EEE"/>
    <w:rsid w:val="00763127"/>
    <w:rsid w:val="0076327A"/>
    <w:rsid w:val="0076330C"/>
    <w:rsid w:val="0076369C"/>
    <w:rsid w:val="0076380B"/>
    <w:rsid w:val="0076397A"/>
    <w:rsid w:val="00763A76"/>
    <w:rsid w:val="007640A7"/>
    <w:rsid w:val="007647CA"/>
    <w:rsid w:val="00764910"/>
    <w:rsid w:val="00764946"/>
    <w:rsid w:val="00764966"/>
    <w:rsid w:val="00764A47"/>
    <w:rsid w:val="00764C32"/>
    <w:rsid w:val="00765253"/>
    <w:rsid w:val="00765708"/>
    <w:rsid w:val="00765CCB"/>
    <w:rsid w:val="00765E25"/>
    <w:rsid w:val="0076666E"/>
    <w:rsid w:val="00766933"/>
    <w:rsid w:val="00767237"/>
    <w:rsid w:val="0076772E"/>
    <w:rsid w:val="00767764"/>
    <w:rsid w:val="00767903"/>
    <w:rsid w:val="00767C42"/>
    <w:rsid w:val="00767D5C"/>
    <w:rsid w:val="00767FAB"/>
    <w:rsid w:val="007708C3"/>
    <w:rsid w:val="007708D4"/>
    <w:rsid w:val="00770A40"/>
    <w:rsid w:val="00770C04"/>
    <w:rsid w:val="00770C78"/>
    <w:rsid w:val="00770DF2"/>
    <w:rsid w:val="007710BB"/>
    <w:rsid w:val="0077153F"/>
    <w:rsid w:val="0077169B"/>
    <w:rsid w:val="00771AF6"/>
    <w:rsid w:val="0077243A"/>
    <w:rsid w:val="0077246C"/>
    <w:rsid w:val="00772CC0"/>
    <w:rsid w:val="007730B4"/>
    <w:rsid w:val="007731B4"/>
    <w:rsid w:val="00773A66"/>
    <w:rsid w:val="00773EC1"/>
    <w:rsid w:val="00773EF9"/>
    <w:rsid w:val="0077424C"/>
    <w:rsid w:val="00774574"/>
    <w:rsid w:val="0077498F"/>
    <w:rsid w:val="00774ACE"/>
    <w:rsid w:val="00775445"/>
    <w:rsid w:val="00775EF5"/>
    <w:rsid w:val="00775F7F"/>
    <w:rsid w:val="0077606F"/>
    <w:rsid w:val="007769EF"/>
    <w:rsid w:val="0077713E"/>
    <w:rsid w:val="007773D1"/>
    <w:rsid w:val="007776DA"/>
    <w:rsid w:val="00777F9A"/>
    <w:rsid w:val="007807B6"/>
    <w:rsid w:val="0078107D"/>
    <w:rsid w:val="0078114E"/>
    <w:rsid w:val="0078115E"/>
    <w:rsid w:val="007813EC"/>
    <w:rsid w:val="0078155B"/>
    <w:rsid w:val="00781929"/>
    <w:rsid w:val="00781ACC"/>
    <w:rsid w:val="00781BDC"/>
    <w:rsid w:val="00781F46"/>
    <w:rsid w:val="00782095"/>
    <w:rsid w:val="0078259D"/>
    <w:rsid w:val="0078278B"/>
    <w:rsid w:val="00782D44"/>
    <w:rsid w:val="00782F51"/>
    <w:rsid w:val="00783304"/>
    <w:rsid w:val="00783437"/>
    <w:rsid w:val="00783498"/>
    <w:rsid w:val="00784895"/>
    <w:rsid w:val="00784D50"/>
    <w:rsid w:val="00784F0B"/>
    <w:rsid w:val="00784FCB"/>
    <w:rsid w:val="00785049"/>
    <w:rsid w:val="007852D5"/>
    <w:rsid w:val="00785421"/>
    <w:rsid w:val="00785EF4"/>
    <w:rsid w:val="00786023"/>
    <w:rsid w:val="0078677A"/>
    <w:rsid w:val="00786A23"/>
    <w:rsid w:val="0078702E"/>
    <w:rsid w:val="00787095"/>
    <w:rsid w:val="007871DF"/>
    <w:rsid w:val="0078772E"/>
    <w:rsid w:val="0078786F"/>
    <w:rsid w:val="00787B60"/>
    <w:rsid w:val="007900B8"/>
    <w:rsid w:val="007900F9"/>
    <w:rsid w:val="007902C8"/>
    <w:rsid w:val="00790BBA"/>
    <w:rsid w:val="00790E79"/>
    <w:rsid w:val="00790FD9"/>
    <w:rsid w:val="0079121A"/>
    <w:rsid w:val="00791785"/>
    <w:rsid w:val="00791940"/>
    <w:rsid w:val="0079195D"/>
    <w:rsid w:val="007919ED"/>
    <w:rsid w:val="00791E76"/>
    <w:rsid w:val="00792068"/>
    <w:rsid w:val="0079266B"/>
    <w:rsid w:val="0079324C"/>
    <w:rsid w:val="00793A15"/>
    <w:rsid w:val="00793D8B"/>
    <w:rsid w:val="00793E84"/>
    <w:rsid w:val="0079443E"/>
    <w:rsid w:val="0079453E"/>
    <w:rsid w:val="00794AFA"/>
    <w:rsid w:val="0079518E"/>
    <w:rsid w:val="00795842"/>
    <w:rsid w:val="00795CA6"/>
    <w:rsid w:val="00795DAF"/>
    <w:rsid w:val="00796B80"/>
    <w:rsid w:val="00796BE7"/>
    <w:rsid w:val="007973C5"/>
    <w:rsid w:val="00797BB5"/>
    <w:rsid w:val="00797BC1"/>
    <w:rsid w:val="00797D56"/>
    <w:rsid w:val="00797F42"/>
    <w:rsid w:val="00797F52"/>
    <w:rsid w:val="007A0419"/>
    <w:rsid w:val="007A071F"/>
    <w:rsid w:val="007A0731"/>
    <w:rsid w:val="007A07C9"/>
    <w:rsid w:val="007A0C52"/>
    <w:rsid w:val="007A0DC8"/>
    <w:rsid w:val="007A1219"/>
    <w:rsid w:val="007A1280"/>
    <w:rsid w:val="007A1321"/>
    <w:rsid w:val="007A150D"/>
    <w:rsid w:val="007A1616"/>
    <w:rsid w:val="007A1794"/>
    <w:rsid w:val="007A1982"/>
    <w:rsid w:val="007A1BD5"/>
    <w:rsid w:val="007A1EE5"/>
    <w:rsid w:val="007A22E4"/>
    <w:rsid w:val="007A2D61"/>
    <w:rsid w:val="007A3196"/>
    <w:rsid w:val="007A326D"/>
    <w:rsid w:val="007A388A"/>
    <w:rsid w:val="007A3A4C"/>
    <w:rsid w:val="007A3A8C"/>
    <w:rsid w:val="007A3D2E"/>
    <w:rsid w:val="007A4031"/>
    <w:rsid w:val="007A4059"/>
    <w:rsid w:val="007A40A2"/>
    <w:rsid w:val="007A41D0"/>
    <w:rsid w:val="007A4346"/>
    <w:rsid w:val="007A47A7"/>
    <w:rsid w:val="007A4BAC"/>
    <w:rsid w:val="007A5812"/>
    <w:rsid w:val="007A59AF"/>
    <w:rsid w:val="007A5CF8"/>
    <w:rsid w:val="007A5D42"/>
    <w:rsid w:val="007A5EFB"/>
    <w:rsid w:val="007A616F"/>
    <w:rsid w:val="007A632A"/>
    <w:rsid w:val="007A65F0"/>
    <w:rsid w:val="007A6889"/>
    <w:rsid w:val="007A7A3C"/>
    <w:rsid w:val="007A7B2C"/>
    <w:rsid w:val="007A7DC4"/>
    <w:rsid w:val="007B0150"/>
    <w:rsid w:val="007B0A8E"/>
    <w:rsid w:val="007B110A"/>
    <w:rsid w:val="007B1655"/>
    <w:rsid w:val="007B1661"/>
    <w:rsid w:val="007B1969"/>
    <w:rsid w:val="007B20FB"/>
    <w:rsid w:val="007B2233"/>
    <w:rsid w:val="007B2627"/>
    <w:rsid w:val="007B2652"/>
    <w:rsid w:val="007B29B3"/>
    <w:rsid w:val="007B3001"/>
    <w:rsid w:val="007B31E7"/>
    <w:rsid w:val="007B3210"/>
    <w:rsid w:val="007B32E1"/>
    <w:rsid w:val="007B3841"/>
    <w:rsid w:val="007B3AF5"/>
    <w:rsid w:val="007B3B80"/>
    <w:rsid w:val="007B3D10"/>
    <w:rsid w:val="007B4351"/>
    <w:rsid w:val="007B4367"/>
    <w:rsid w:val="007B4681"/>
    <w:rsid w:val="007B505C"/>
    <w:rsid w:val="007B5302"/>
    <w:rsid w:val="007B58B5"/>
    <w:rsid w:val="007B6091"/>
    <w:rsid w:val="007B60EE"/>
    <w:rsid w:val="007B6497"/>
    <w:rsid w:val="007B6967"/>
    <w:rsid w:val="007B6EED"/>
    <w:rsid w:val="007B71BA"/>
    <w:rsid w:val="007B7299"/>
    <w:rsid w:val="007B768A"/>
    <w:rsid w:val="007B777F"/>
    <w:rsid w:val="007B7B64"/>
    <w:rsid w:val="007B7BFC"/>
    <w:rsid w:val="007B7EC1"/>
    <w:rsid w:val="007C015A"/>
    <w:rsid w:val="007C0930"/>
    <w:rsid w:val="007C1051"/>
    <w:rsid w:val="007C152B"/>
    <w:rsid w:val="007C18AA"/>
    <w:rsid w:val="007C1984"/>
    <w:rsid w:val="007C1D84"/>
    <w:rsid w:val="007C29A1"/>
    <w:rsid w:val="007C2DF6"/>
    <w:rsid w:val="007C2EA5"/>
    <w:rsid w:val="007C310C"/>
    <w:rsid w:val="007C37DC"/>
    <w:rsid w:val="007C38C4"/>
    <w:rsid w:val="007C3D7D"/>
    <w:rsid w:val="007C3ED9"/>
    <w:rsid w:val="007C45D9"/>
    <w:rsid w:val="007C4DAE"/>
    <w:rsid w:val="007C54AA"/>
    <w:rsid w:val="007C5521"/>
    <w:rsid w:val="007C56B0"/>
    <w:rsid w:val="007C56E0"/>
    <w:rsid w:val="007C5F68"/>
    <w:rsid w:val="007C60C9"/>
    <w:rsid w:val="007C6607"/>
    <w:rsid w:val="007C660F"/>
    <w:rsid w:val="007C66F6"/>
    <w:rsid w:val="007C6B06"/>
    <w:rsid w:val="007C6FBF"/>
    <w:rsid w:val="007C7046"/>
    <w:rsid w:val="007C7B06"/>
    <w:rsid w:val="007D07AC"/>
    <w:rsid w:val="007D0801"/>
    <w:rsid w:val="007D083A"/>
    <w:rsid w:val="007D0AB4"/>
    <w:rsid w:val="007D0E9D"/>
    <w:rsid w:val="007D1130"/>
    <w:rsid w:val="007D1586"/>
    <w:rsid w:val="007D1C3A"/>
    <w:rsid w:val="007D219E"/>
    <w:rsid w:val="007D21A7"/>
    <w:rsid w:val="007D2B5F"/>
    <w:rsid w:val="007D2F6A"/>
    <w:rsid w:val="007D3216"/>
    <w:rsid w:val="007D32C8"/>
    <w:rsid w:val="007D37A6"/>
    <w:rsid w:val="007D398D"/>
    <w:rsid w:val="007D399E"/>
    <w:rsid w:val="007D3CA8"/>
    <w:rsid w:val="007D40F4"/>
    <w:rsid w:val="007D442A"/>
    <w:rsid w:val="007D4BC9"/>
    <w:rsid w:val="007D526C"/>
    <w:rsid w:val="007D54BC"/>
    <w:rsid w:val="007D5978"/>
    <w:rsid w:val="007D5B15"/>
    <w:rsid w:val="007D5DBA"/>
    <w:rsid w:val="007D66BA"/>
    <w:rsid w:val="007D6C39"/>
    <w:rsid w:val="007D6DA4"/>
    <w:rsid w:val="007D73D2"/>
    <w:rsid w:val="007D740B"/>
    <w:rsid w:val="007D76A1"/>
    <w:rsid w:val="007D7A54"/>
    <w:rsid w:val="007E0096"/>
    <w:rsid w:val="007E0216"/>
    <w:rsid w:val="007E0279"/>
    <w:rsid w:val="007E029B"/>
    <w:rsid w:val="007E02D2"/>
    <w:rsid w:val="007E0304"/>
    <w:rsid w:val="007E0777"/>
    <w:rsid w:val="007E0AEF"/>
    <w:rsid w:val="007E0D8E"/>
    <w:rsid w:val="007E1269"/>
    <w:rsid w:val="007E29B1"/>
    <w:rsid w:val="007E2E09"/>
    <w:rsid w:val="007E3069"/>
    <w:rsid w:val="007E324A"/>
    <w:rsid w:val="007E3779"/>
    <w:rsid w:val="007E3B08"/>
    <w:rsid w:val="007E3BDB"/>
    <w:rsid w:val="007E3BE3"/>
    <w:rsid w:val="007E4A38"/>
    <w:rsid w:val="007E4B94"/>
    <w:rsid w:val="007E51CC"/>
    <w:rsid w:val="007E555E"/>
    <w:rsid w:val="007E56DD"/>
    <w:rsid w:val="007E5712"/>
    <w:rsid w:val="007E58A5"/>
    <w:rsid w:val="007E5A93"/>
    <w:rsid w:val="007E652A"/>
    <w:rsid w:val="007E657E"/>
    <w:rsid w:val="007E6B41"/>
    <w:rsid w:val="007E6D94"/>
    <w:rsid w:val="007E7188"/>
    <w:rsid w:val="007F06C4"/>
    <w:rsid w:val="007F07E8"/>
    <w:rsid w:val="007F117F"/>
    <w:rsid w:val="007F11E3"/>
    <w:rsid w:val="007F12E1"/>
    <w:rsid w:val="007F1679"/>
    <w:rsid w:val="007F1A4D"/>
    <w:rsid w:val="007F1FBD"/>
    <w:rsid w:val="007F2276"/>
    <w:rsid w:val="007F25CD"/>
    <w:rsid w:val="007F2689"/>
    <w:rsid w:val="007F28D0"/>
    <w:rsid w:val="007F2CF0"/>
    <w:rsid w:val="007F2DB0"/>
    <w:rsid w:val="007F334D"/>
    <w:rsid w:val="007F369B"/>
    <w:rsid w:val="007F3928"/>
    <w:rsid w:val="007F4328"/>
    <w:rsid w:val="007F4603"/>
    <w:rsid w:val="007F4728"/>
    <w:rsid w:val="007F479B"/>
    <w:rsid w:val="007F4F35"/>
    <w:rsid w:val="007F5459"/>
    <w:rsid w:val="007F5546"/>
    <w:rsid w:val="007F5573"/>
    <w:rsid w:val="007F56AE"/>
    <w:rsid w:val="007F59FB"/>
    <w:rsid w:val="007F5D4E"/>
    <w:rsid w:val="007F6280"/>
    <w:rsid w:val="007F646D"/>
    <w:rsid w:val="007F6CC3"/>
    <w:rsid w:val="007F7113"/>
    <w:rsid w:val="007F719D"/>
    <w:rsid w:val="007F72EB"/>
    <w:rsid w:val="007F7507"/>
    <w:rsid w:val="007F7549"/>
    <w:rsid w:val="007F77B7"/>
    <w:rsid w:val="007F7B97"/>
    <w:rsid w:val="007F7CA7"/>
    <w:rsid w:val="00800061"/>
    <w:rsid w:val="008001C3"/>
    <w:rsid w:val="00800323"/>
    <w:rsid w:val="0080083F"/>
    <w:rsid w:val="008009F2"/>
    <w:rsid w:val="00800D51"/>
    <w:rsid w:val="00801422"/>
    <w:rsid w:val="0080150B"/>
    <w:rsid w:val="00801914"/>
    <w:rsid w:val="00801BDC"/>
    <w:rsid w:val="00801DC2"/>
    <w:rsid w:val="00801E81"/>
    <w:rsid w:val="00801EDE"/>
    <w:rsid w:val="00802322"/>
    <w:rsid w:val="008028A1"/>
    <w:rsid w:val="008032F3"/>
    <w:rsid w:val="00803671"/>
    <w:rsid w:val="0080372B"/>
    <w:rsid w:val="0080374A"/>
    <w:rsid w:val="00803BED"/>
    <w:rsid w:val="00803E1F"/>
    <w:rsid w:val="00804319"/>
    <w:rsid w:val="008047EE"/>
    <w:rsid w:val="00804EB3"/>
    <w:rsid w:val="00804FF5"/>
    <w:rsid w:val="0080514A"/>
    <w:rsid w:val="008054F3"/>
    <w:rsid w:val="008055A1"/>
    <w:rsid w:val="00805956"/>
    <w:rsid w:val="00806262"/>
    <w:rsid w:val="00806A2E"/>
    <w:rsid w:val="00806BA3"/>
    <w:rsid w:val="00806FB2"/>
    <w:rsid w:val="00807103"/>
    <w:rsid w:val="008072FF"/>
    <w:rsid w:val="00807A31"/>
    <w:rsid w:val="00807CE7"/>
    <w:rsid w:val="00810088"/>
    <w:rsid w:val="00810461"/>
    <w:rsid w:val="00810A7D"/>
    <w:rsid w:val="00811285"/>
    <w:rsid w:val="0081135D"/>
    <w:rsid w:val="00811A70"/>
    <w:rsid w:val="00811CC7"/>
    <w:rsid w:val="00812010"/>
    <w:rsid w:val="008127DF"/>
    <w:rsid w:val="008129A7"/>
    <w:rsid w:val="00812A6C"/>
    <w:rsid w:val="00812C6E"/>
    <w:rsid w:val="00812D56"/>
    <w:rsid w:val="008136BE"/>
    <w:rsid w:val="0081377F"/>
    <w:rsid w:val="00813817"/>
    <w:rsid w:val="00813AAC"/>
    <w:rsid w:val="00813DCC"/>
    <w:rsid w:val="00813E7D"/>
    <w:rsid w:val="00813F85"/>
    <w:rsid w:val="00814392"/>
    <w:rsid w:val="0081473E"/>
    <w:rsid w:val="008149BA"/>
    <w:rsid w:val="00814E31"/>
    <w:rsid w:val="00815867"/>
    <w:rsid w:val="008159C5"/>
    <w:rsid w:val="00815A2D"/>
    <w:rsid w:val="00815BE9"/>
    <w:rsid w:val="00815C5E"/>
    <w:rsid w:val="00815FA4"/>
    <w:rsid w:val="008161C6"/>
    <w:rsid w:val="008162B0"/>
    <w:rsid w:val="008162B1"/>
    <w:rsid w:val="0081631B"/>
    <w:rsid w:val="0081663F"/>
    <w:rsid w:val="00816C1A"/>
    <w:rsid w:val="00816D8B"/>
    <w:rsid w:val="00817934"/>
    <w:rsid w:val="00817A43"/>
    <w:rsid w:val="00817D2A"/>
    <w:rsid w:val="00817D36"/>
    <w:rsid w:val="00817E7C"/>
    <w:rsid w:val="008205B4"/>
    <w:rsid w:val="00820A23"/>
    <w:rsid w:val="00820B4A"/>
    <w:rsid w:val="00820F09"/>
    <w:rsid w:val="008215C4"/>
    <w:rsid w:val="0082186A"/>
    <w:rsid w:val="00821B51"/>
    <w:rsid w:val="00821DC7"/>
    <w:rsid w:val="00821E2B"/>
    <w:rsid w:val="00822141"/>
    <w:rsid w:val="00822A95"/>
    <w:rsid w:val="00822BEC"/>
    <w:rsid w:val="00823B46"/>
    <w:rsid w:val="00823DD0"/>
    <w:rsid w:val="00824667"/>
    <w:rsid w:val="00824D6A"/>
    <w:rsid w:val="0082547A"/>
    <w:rsid w:val="008254B4"/>
    <w:rsid w:val="00825D24"/>
    <w:rsid w:val="00826263"/>
    <w:rsid w:val="0082673E"/>
    <w:rsid w:val="00826A84"/>
    <w:rsid w:val="00826ADA"/>
    <w:rsid w:val="00826FBE"/>
    <w:rsid w:val="008271A4"/>
    <w:rsid w:val="008271B9"/>
    <w:rsid w:val="00827E4E"/>
    <w:rsid w:val="0083043B"/>
    <w:rsid w:val="0083055E"/>
    <w:rsid w:val="00830852"/>
    <w:rsid w:val="00830872"/>
    <w:rsid w:val="00830B1E"/>
    <w:rsid w:val="00830C9B"/>
    <w:rsid w:val="00830F92"/>
    <w:rsid w:val="008312A4"/>
    <w:rsid w:val="0083174D"/>
    <w:rsid w:val="00831ECE"/>
    <w:rsid w:val="00832130"/>
    <w:rsid w:val="0083250E"/>
    <w:rsid w:val="008325AD"/>
    <w:rsid w:val="00832807"/>
    <w:rsid w:val="00832915"/>
    <w:rsid w:val="00832EBA"/>
    <w:rsid w:val="00833A73"/>
    <w:rsid w:val="00833E00"/>
    <w:rsid w:val="00833E09"/>
    <w:rsid w:val="00833E47"/>
    <w:rsid w:val="00834397"/>
    <w:rsid w:val="008343F4"/>
    <w:rsid w:val="00834728"/>
    <w:rsid w:val="00834FE4"/>
    <w:rsid w:val="008350B4"/>
    <w:rsid w:val="008351CF"/>
    <w:rsid w:val="008352D1"/>
    <w:rsid w:val="008356F2"/>
    <w:rsid w:val="00835979"/>
    <w:rsid w:val="00835D07"/>
    <w:rsid w:val="00835F49"/>
    <w:rsid w:val="00836144"/>
    <w:rsid w:val="008364B1"/>
    <w:rsid w:val="008366AC"/>
    <w:rsid w:val="00836707"/>
    <w:rsid w:val="008370F0"/>
    <w:rsid w:val="008373A8"/>
    <w:rsid w:val="008379CB"/>
    <w:rsid w:val="00837B55"/>
    <w:rsid w:val="00837C32"/>
    <w:rsid w:val="00837D84"/>
    <w:rsid w:val="00837E75"/>
    <w:rsid w:val="008403EA"/>
    <w:rsid w:val="00840494"/>
    <w:rsid w:val="0084051B"/>
    <w:rsid w:val="00840555"/>
    <w:rsid w:val="008408E7"/>
    <w:rsid w:val="00840F9F"/>
    <w:rsid w:val="008415F5"/>
    <w:rsid w:val="00841DCC"/>
    <w:rsid w:val="00841FDD"/>
    <w:rsid w:val="008420BF"/>
    <w:rsid w:val="0084219B"/>
    <w:rsid w:val="00842376"/>
    <w:rsid w:val="00842442"/>
    <w:rsid w:val="00842595"/>
    <w:rsid w:val="0084371E"/>
    <w:rsid w:val="00843892"/>
    <w:rsid w:val="00843924"/>
    <w:rsid w:val="00843A06"/>
    <w:rsid w:val="00843E79"/>
    <w:rsid w:val="00843EFE"/>
    <w:rsid w:val="00843FB3"/>
    <w:rsid w:val="0084424D"/>
    <w:rsid w:val="00844283"/>
    <w:rsid w:val="008444A8"/>
    <w:rsid w:val="008449C4"/>
    <w:rsid w:val="00844B90"/>
    <w:rsid w:val="00844BE0"/>
    <w:rsid w:val="00844C89"/>
    <w:rsid w:val="00844FC1"/>
    <w:rsid w:val="00845327"/>
    <w:rsid w:val="008453D7"/>
    <w:rsid w:val="008455F2"/>
    <w:rsid w:val="00845976"/>
    <w:rsid w:val="0084597F"/>
    <w:rsid w:val="00845C21"/>
    <w:rsid w:val="008462E8"/>
    <w:rsid w:val="008463CB"/>
    <w:rsid w:val="008468E5"/>
    <w:rsid w:val="00846C9D"/>
    <w:rsid w:val="00847129"/>
    <w:rsid w:val="00847170"/>
    <w:rsid w:val="00847189"/>
    <w:rsid w:val="00847412"/>
    <w:rsid w:val="00847CAB"/>
    <w:rsid w:val="00847D15"/>
    <w:rsid w:val="0085007E"/>
    <w:rsid w:val="008500F5"/>
    <w:rsid w:val="00850F2F"/>
    <w:rsid w:val="00851018"/>
    <w:rsid w:val="008510E3"/>
    <w:rsid w:val="0085113F"/>
    <w:rsid w:val="008511BF"/>
    <w:rsid w:val="008514DF"/>
    <w:rsid w:val="008517EF"/>
    <w:rsid w:val="0085183C"/>
    <w:rsid w:val="0085188A"/>
    <w:rsid w:val="00851DA4"/>
    <w:rsid w:val="00851ECA"/>
    <w:rsid w:val="00852003"/>
    <w:rsid w:val="008526E5"/>
    <w:rsid w:val="00852CE1"/>
    <w:rsid w:val="00852E1C"/>
    <w:rsid w:val="0085309A"/>
    <w:rsid w:val="00853916"/>
    <w:rsid w:val="00853BEF"/>
    <w:rsid w:val="00853E50"/>
    <w:rsid w:val="00854544"/>
    <w:rsid w:val="008548D2"/>
    <w:rsid w:val="00854AD7"/>
    <w:rsid w:val="008550F4"/>
    <w:rsid w:val="008554D7"/>
    <w:rsid w:val="00855E8B"/>
    <w:rsid w:val="008564BD"/>
    <w:rsid w:val="00856A17"/>
    <w:rsid w:val="00856E8D"/>
    <w:rsid w:val="0085703F"/>
    <w:rsid w:val="008570B3"/>
    <w:rsid w:val="00857433"/>
    <w:rsid w:val="00857B87"/>
    <w:rsid w:val="00857E34"/>
    <w:rsid w:val="00860DF0"/>
    <w:rsid w:val="008611A8"/>
    <w:rsid w:val="0086120E"/>
    <w:rsid w:val="008614AE"/>
    <w:rsid w:val="00861991"/>
    <w:rsid w:val="00861C3C"/>
    <w:rsid w:val="00861CFF"/>
    <w:rsid w:val="00862731"/>
    <w:rsid w:val="00862784"/>
    <w:rsid w:val="008628C7"/>
    <w:rsid w:val="0086291B"/>
    <w:rsid w:val="00862D05"/>
    <w:rsid w:val="00862DBD"/>
    <w:rsid w:val="0086309D"/>
    <w:rsid w:val="008630DF"/>
    <w:rsid w:val="00863433"/>
    <w:rsid w:val="00863480"/>
    <w:rsid w:val="008637E2"/>
    <w:rsid w:val="00863B72"/>
    <w:rsid w:val="00863C24"/>
    <w:rsid w:val="00863D3C"/>
    <w:rsid w:val="0086510B"/>
    <w:rsid w:val="00865661"/>
    <w:rsid w:val="00865748"/>
    <w:rsid w:val="00865F3B"/>
    <w:rsid w:val="00865FAA"/>
    <w:rsid w:val="0086609C"/>
    <w:rsid w:val="00866411"/>
    <w:rsid w:val="008666D3"/>
    <w:rsid w:val="00866B0C"/>
    <w:rsid w:val="00866BCF"/>
    <w:rsid w:val="008672B3"/>
    <w:rsid w:val="008672EF"/>
    <w:rsid w:val="008679DE"/>
    <w:rsid w:val="00867CAD"/>
    <w:rsid w:val="00867EBC"/>
    <w:rsid w:val="00867ED3"/>
    <w:rsid w:val="00870218"/>
    <w:rsid w:val="00870ADC"/>
    <w:rsid w:val="00870C7D"/>
    <w:rsid w:val="008710D8"/>
    <w:rsid w:val="00871595"/>
    <w:rsid w:val="008715F1"/>
    <w:rsid w:val="008716C4"/>
    <w:rsid w:val="00871A4B"/>
    <w:rsid w:val="00871B3F"/>
    <w:rsid w:val="00871CC3"/>
    <w:rsid w:val="00871E41"/>
    <w:rsid w:val="00872079"/>
    <w:rsid w:val="008720F7"/>
    <w:rsid w:val="00872199"/>
    <w:rsid w:val="00873572"/>
    <w:rsid w:val="00873628"/>
    <w:rsid w:val="00873874"/>
    <w:rsid w:val="00873ECD"/>
    <w:rsid w:val="00873F64"/>
    <w:rsid w:val="00873F96"/>
    <w:rsid w:val="008742D9"/>
    <w:rsid w:val="008745E7"/>
    <w:rsid w:val="008747B4"/>
    <w:rsid w:val="00874A7A"/>
    <w:rsid w:val="00874A96"/>
    <w:rsid w:val="00874BCD"/>
    <w:rsid w:val="00875618"/>
    <w:rsid w:val="00875991"/>
    <w:rsid w:val="00875B2F"/>
    <w:rsid w:val="00875C44"/>
    <w:rsid w:val="00876276"/>
    <w:rsid w:val="00876688"/>
    <w:rsid w:val="00876A43"/>
    <w:rsid w:val="00876ADF"/>
    <w:rsid w:val="00876C4A"/>
    <w:rsid w:val="00876F8B"/>
    <w:rsid w:val="00877109"/>
    <w:rsid w:val="00877322"/>
    <w:rsid w:val="00877780"/>
    <w:rsid w:val="00877BC4"/>
    <w:rsid w:val="00877C7C"/>
    <w:rsid w:val="00877F31"/>
    <w:rsid w:val="00880872"/>
    <w:rsid w:val="00880A01"/>
    <w:rsid w:val="00880C9B"/>
    <w:rsid w:val="00880CA7"/>
    <w:rsid w:val="00881650"/>
    <w:rsid w:val="00881871"/>
    <w:rsid w:val="00881A27"/>
    <w:rsid w:val="00881CFA"/>
    <w:rsid w:val="00881E46"/>
    <w:rsid w:val="00882122"/>
    <w:rsid w:val="00882140"/>
    <w:rsid w:val="00882744"/>
    <w:rsid w:val="008827C8"/>
    <w:rsid w:val="008827CB"/>
    <w:rsid w:val="00882A02"/>
    <w:rsid w:val="00882B0E"/>
    <w:rsid w:val="00882DD7"/>
    <w:rsid w:val="00882EF9"/>
    <w:rsid w:val="00882F5C"/>
    <w:rsid w:val="00883264"/>
    <w:rsid w:val="00883603"/>
    <w:rsid w:val="00883B19"/>
    <w:rsid w:val="00883CD0"/>
    <w:rsid w:val="00883D9D"/>
    <w:rsid w:val="0088409D"/>
    <w:rsid w:val="008848B7"/>
    <w:rsid w:val="00884ED0"/>
    <w:rsid w:val="00885A51"/>
    <w:rsid w:val="00885AB6"/>
    <w:rsid w:val="00885AC5"/>
    <w:rsid w:val="00885F98"/>
    <w:rsid w:val="0088620B"/>
    <w:rsid w:val="008864EF"/>
    <w:rsid w:val="0088677B"/>
    <w:rsid w:val="0088694B"/>
    <w:rsid w:val="00886A5C"/>
    <w:rsid w:val="0088706B"/>
    <w:rsid w:val="008875FB"/>
    <w:rsid w:val="0088769D"/>
    <w:rsid w:val="00887D8F"/>
    <w:rsid w:val="00887E3D"/>
    <w:rsid w:val="00887F63"/>
    <w:rsid w:val="00890472"/>
    <w:rsid w:val="008905EF"/>
    <w:rsid w:val="00890886"/>
    <w:rsid w:val="00890979"/>
    <w:rsid w:val="00890AFA"/>
    <w:rsid w:val="00890C1D"/>
    <w:rsid w:val="00891407"/>
    <w:rsid w:val="00891613"/>
    <w:rsid w:val="00891CD4"/>
    <w:rsid w:val="00891D29"/>
    <w:rsid w:val="00892475"/>
    <w:rsid w:val="00892553"/>
    <w:rsid w:val="00892708"/>
    <w:rsid w:val="008927D8"/>
    <w:rsid w:val="00892885"/>
    <w:rsid w:val="008928C3"/>
    <w:rsid w:val="008930F1"/>
    <w:rsid w:val="00893144"/>
    <w:rsid w:val="0089319F"/>
    <w:rsid w:val="0089360D"/>
    <w:rsid w:val="008937D5"/>
    <w:rsid w:val="00893808"/>
    <w:rsid w:val="00893AA7"/>
    <w:rsid w:val="00893BCC"/>
    <w:rsid w:val="008941FE"/>
    <w:rsid w:val="008944CC"/>
    <w:rsid w:val="0089480E"/>
    <w:rsid w:val="00894E0D"/>
    <w:rsid w:val="008952B0"/>
    <w:rsid w:val="00895333"/>
    <w:rsid w:val="00895350"/>
    <w:rsid w:val="0089537E"/>
    <w:rsid w:val="00895564"/>
    <w:rsid w:val="008956E8"/>
    <w:rsid w:val="00896398"/>
    <w:rsid w:val="008968AE"/>
    <w:rsid w:val="00896C9A"/>
    <w:rsid w:val="00896DEA"/>
    <w:rsid w:val="00896FA6"/>
    <w:rsid w:val="00897465"/>
    <w:rsid w:val="00897704"/>
    <w:rsid w:val="0089798F"/>
    <w:rsid w:val="00897AF7"/>
    <w:rsid w:val="00897B24"/>
    <w:rsid w:val="00897C44"/>
    <w:rsid w:val="008A0128"/>
    <w:rsid w:val="008A0590"/>
    <w:rsid w:val="008A0852"/>
    <w:rsid w:val="008A08CC"/>
    <w:rsid w:val="008A108A"/>
    <w:rsid w:val="008A1099"/>
    <w:rsid w:val="008A1188"/>
    <w:rsid w:val="008A183B"/>
    <w:rsid w:val="008A1B6E"/>
    <w:rsid w:val="008A1D93"/>
    <w:rsid w:val="008A1F3D"/>
    <w:rsid w:val="008A23B6"/>
    <w:rsid w:val="008A23CC"/>
    <w:rsid w:val="008A2898"/>
    <w:rsid w:val="008A2EC4"/>
    <w:rsid w:val="008A3210"/>
    <w:rsid w:val="008A3818"/>
    <w:rsid w:val="008A3D08"/>
    <w:rsid w:val="008A42DD"/>
    <w:rsid w:val="008A47D7"/>
    <w:rsid w:val="008A4906"/>
    <w:rsid w:val="008A4CE6"/>
    <w:rsid w:val="008A4F2A"/>
    <w:rsid w:val="008A5279"/>
    <w:rsid w:val="008A5B08"/>
    <w:rsid w:val="008A5F66"/>
    <w:rsid w:val="008A60A8"/>
    <w:rsid w:val="008A6492"/>
    <w:rsid w:val="008A69FB"/>
    <w:rsid w:val="008A6BDE"/>
    <w:rsid w:val="008A7C75"/>
    <w:rsid w:val="008B0B54"/>
    <w:rsid w:val="008B0D79"/>
    <w:rsid w:val="008B1082"/>
    <w:rsid w:val="008B12B3"/>
    <w:rsid w:val="008B1D9D"/>
    <w:rsid w:val="008B1F61"/>
    <w:rsid w:val="008B2015"/>
    <w:rsid w:val="008B261E"/>
    <w:rsid w:val="008B28D6"/>
    <w:rsid w:val="008B2F82"/>
    <w:rsid w:val="008B3681"/>
    <w:rsid w:val="008B3826"/>
    <w:rsid w:val="008B41AD"/>
    <w:rsid w:val="008B434A"/>
    <w:rsid w:val="008B46DB"/>
    <w:rsid w:val="008B4756"/>
    <w:rsid w:val="008B4A9B"/>
    <w:rsid w:val="008B4B49"/>
    <w:rsid w:val="008B4C22"/>
    <w:rsid w:val="008B4D3C"/>
    <w:rsid w:val="008B4DB3"/>
    <w:rsid w:val="008B5409"/>
    <w:rsid w:val="008B55C5"/>
    <w:rsid w:val="008B5BD5"/>
    <w:rsid w:val="008B5C4A"/>
    <w:rsid w:val="008B6A20"/>
    <w:rsid w:val="008B6AD1"/>
    <w:rsid w:val="008B6FAF"/>
    <w:rsid w:val="008B7060"/>
    <w:rsid w:val="008B728C"/>
    <w:rsid w:val="008B75F6"/>
    <w:rsid w:val="008B774F"/>
    <w:rsid w:val="008B7BCA"/>
    <w:rsid w:val="008B7BE6"/>
    <w:rsid w:val="008B7EA2"/>
    <w:rsid w:val="008C00B6"/>
    <w:rsid w:val="008C01EF"/>
    <w:rsid w:val="008C02F6"/>
    <w:rsid w:val="008C052C"/>
    <w:rsid w:val="008C063C"/>
    <w:rsid w:val="008C0BB8"/>
    <w:rsid w:val="008C0CCF"/>
    <w:rsid w:val="008C10E4"/>
    <w:rsid w:val="008C1297"/>
    <w:rsid w:val="008C12C0"/>
    <w:rsid w:val="008C12F9"/>
    <w:rsid w:val="008C1537"/>
    <w:rsid w:val="008C1634"/>
    <w:rsid w:val="008C1822"/>
    <w:rsid w:val="008C1F55"/>
    <w:rsid w:val="008C2217"/>
    <w:rsid w:val="008C2322"/>
    <w:rsid w:val="008C25E2"/>
    <w:rsid w:val="008C2649"/>
    <w:rsid w:val="008C2F9F"/>
    <w:rsid w:val="008C3027"/>
    <w:rsid w:val="008C3165"/>
    <w:rsid w:val="008C3A14"/>
    <w:rsid w:val="008C3EC1"/>
    <w:rsid w:val="008C3EE6"/>
    <w:rsid w:val="008C3EF2"/>
    <w:rsid w:val="008C4221"/>
    <w:rsid w:val="008C4CFD"/>
    <w:rsid w:val="008C5731"/>
    <w:rsid w:val="008C59D7"/>
    <w:rsid w:val="008C5F51"/>
    <w:rsid w:val="008C6386"/>
    <w:rsid w:val="008C63A1"/>
    <w:rsid w:val="008C64B0"/>
    <w:rsid w:val="008C6897"/>
    <w:rsid w:val="008C74D0"/>
    <w:rsid w:val="008C7CC3"/>
    <w:rsid w:val="008D086A"/>
    <w:rsid w:val="008D0907"/>
    <w:rsid w:val="008D0BB3"/>
    <w:rsid w:val="008D0BC7"/>
    <w:rsid w:val="008D115A"/>
    <w:rsid w:val="008D1570"/>
    <w:rsid w:val="008D1969"/>
    <w:rsid w:val="008D197B"/>
    <w:rsid w:val="008D20C8"/>
    <w:rsid w:val="008D2CD5"/>
    <w:rsid w:val="008D2CDD"/>
    <w:rsid w:val="008D2E0F"/>
    <w:rsid w:val="008D300C"/>
    <w:rsid w:val="008D353D"/>
    <w:rsid w:val="008D43A0"/>
    <w:rsid w:val="008D44A2"/>
    <w:rsid w:val="008D4965"/>
    <w:rsid w:val="008D4A3A"/>
    <w:rsid w:val="008D4B6A"/>
    <w:rsid w:val="008D4E29"/>
    <w:rsid w:val="008D563C"/>
    <w:rsid w:val="008D5797"/>
    <w:rsid w:val="008D5DF4"/>
    <w:rsid w:val="008D5EEF"/>
    <w:rsid w:val="008D5F83"/>
    <w:rsid w:val="008D60EB"/>
    <w:rsid w:val="008D612C"/>
    <w:rsid w:val="008D616F"/>
    <w:rsid w:val="008D66FB"/>
    <w:rsid w:val="008D6BD1"/>
    <w:rsid w:val="008D6D23"/>
    <w:rsid w:val="008D6E8F"/>
    <w:rsid w:val="008D79F2"/>
    <w:rsid w:val="008D7A86"/>
    <w:rsid w:val="008E011C"/>
    <w:rsid w:val="008E0749"/>
    <w:rsid w:val="008E078E"/>
    <w:rsid w:val="008E0ECA"/>
    <w:rsid w:val="008E12F6"/>
    <w:rsid w:val="008E15DF"/>
    <w:rsid w:val="008E1762"/>
    <w:rsid w:val="008E1E54"/>
    <w:rsid w:val="008E22B8"/>
    <w:rsid w:val="008E271E"/>
    <w:rsid w:val="008E2EFD"/>
    <w:rsid w:val="008E2F7A"/>
    <w:rsid w:val="008E3183"/>
    <w:rsid w:val="008E32D2"/>
    <w:rsid w:val="008E361A"/>
    <w:rsid w:val="008E36D5"/>
    <w:rsid w:val="008E386D"/>
    <w:rsid w:val="008E3999"/>
    <w:rsid w:val="008E3A63"/>
    <w:rsid w:val="008E3EEA"/>
    <w:rsid w:val="008E42BD"/>
    <w:rsid w:val="008E4DB1"/>
    <w:rsid w:val="008E53E9"/>
    <w:rsid w:val="008E5440"/>
    <w:rsid w:val="008E59D4"/>
    <w:rsid w:val="008E5B25"/>
    <w:rsid w:val="008E5CCE"/>
    <w:rsid w:val="008E6017"/>
    <w:rsid w:val="008E6150"/>
    <w:rsid w:val="008E63CC"/>
    <w:rsid w:val="008E66B4"/>
    <w:rsid w:val="008E6CE0"/>
    <w:rsid w:val="008E6D63"/>
    <w:rsid w:val="008E6D94"/>
    <w:rsid w:val="008E6F94"/>
    <w:rsid w:val="008E6FC6"/>
    <w:rsid w:val="008E7524"/>
    <w:rsid w:val="008E77AD"/>
    <w:rsid w:val="008E78DC"/>
    <w:rsid w:val="008E7AC1"/>
    <w:rsid w:val="008E7B4F"/>
    <w:rsid w:val="008E7CBE"/>
    <w:rsid w:val="008E7E84"/>
    <w:rsid w:val="008F018A"/>
    <w:rsid w:val="008F0721"/>
    <w:rsid w:val="008F0863"/>
    <w:rsid w:val="008F0CCF"/>
    <w:rsid w:val="008F0EBC"/>
    <w:rsid w:val="008F0EDC"/>
    <w:rsid w:val="008F1249"/>
    <w:rsid w:val="008F1411"/>
    <w:rsid w:val="008F1649"/>
    <w:rsid w:val="008F2CEA"/>
    <w:rsid w:val="008F3015"/>
    <w:rsid w:val="008F41EB"/>
    <w:rsid w:val="008F43E6"/>
    <w:rsid w:val="008F465A"/>
    <w:rsid w:val="008F4B33"/>
    <w:rsid w:val="008F4EB1"/>
    <w:rsid w:val="008F4EB7"/>
    <w:rsid w:val="008F4F64"/>
    <w:rsid w:val="008F4F67"/>
    <w:rsid w:val="008F548E"/>
    <w:rsid w:val="008F55D3"/>
    <w:rsid w:val="008F55F8"/>
    <w:rsid w:val="008F5777"/>
    <w:rsid w:val="008F5A42"/>
    <w:rsid w:val="008F5E1A"/>
    <w:rsid w:val="008F63BC"/>
    <w:rsid w:val="008F66ED"/>
    <w:rsid w:val="008F686A"/>
    <w:rsid w:val="008F6BA7"/>
    <w:rsid w:val="008F6E98"/>
    <w:rsid w:val="008F6F3D"/>
    <w:rsid w:val="008F727A"/>
    <w:rsid w:val="008F78A9"/>
    <w:rsid w:val="008F7CC7"/>
    <w:rsid w:val="0090006F"/>
    <w:rsid w:val="00900189"/>
    <w:rsid w:val="0090018B"/>
    <w:rsid w:val="0090069B"/>
    <w:rsid w:val="00900A99"/>
    <w:rsid w:val="00900B0F"/>
    <w:rsid w:val="00900D8B"/>
    <w:rsid w:val="00901B58"/>
    <w:rsid w:val="00901C3D"/>
    <w:rsid w:val="00901F20"/>
    <w:rsid w:val="0090230E"/>
    <w:rsid w:val="00902784"/>
    <w:rsid w:val="00903050"/>
    <w:rsid w:val="0090324E"/>
    <w:rsid w:val="00903536"/>
    <w:rsid w:val="0090367A"/>
    <w:rsid w:val="009037F6"/>
    <w:rsid w:val="00903B1A"/>
    <w:rsid w:val="00903E76"/>
    <w:rsid w:val="00904606"/>
    <w:rsid w:val="0090469D"/>
    <w:rsid w:val="009049C3"/>
    <w:rsid w:val="00905AD5"/>
    <w:rsid w:val="00905AE5"/>
    <w:rsid w:val="009060E4"/>
    <w:rsid w:val="00906240"/>
    <w:rsid w:val="009064D5"/>
    <w:rsid w:val="009065E8"/>
    <w:rsid w:val="00906A90"/>
    <w:rsid w:val="00906DED"/>
    <w:rsid w:val="00907312"/>
    <w:rsid w:val="009077BF"/>
    <w:rsid w:val="009078FF"/>
    <w:rsid w:val="00907AF0"/>
    <w:rsid w:val="009103E9"/>
    <w:rsid w:val="009106A1"/>
    <w:rsid w:val="00910A3F"/>
    <w:rsid w:val="00910D85"/>
    <w:rsid w:val="009115A5"/>
    <w:rsid w:val="0091165A"/>
    <w:rsid w:val="009116FD"/>
    <w:rsid w:val="00911997"/>
    <w:rsid w:val="00911EF3"/>
    <w:rsid w:val="00911F6A"/>
    <w:rsid w:val="009121A4"/>
    <w:rsid w:val="009121B2"/>
    <w:rsid w:val="00912796"/>
    <w:rsid w:val="00912AE6"/>
    <w:rsid w:val="00912DBA"/>
    <w:rsid w:val="00912E50"/>
    <w:rsid w:val="00912FDE"/>
    <w:rsid w:val="00913455"/>
    <w:rsid w:val="0091398A"/>
    <w:rsid w:val="00913A78"/>
    <w:rsid w:val="00913B0E"/>
    <w:rsid w:val="00913ECB"/>
    <w:rsid w:val="00914174"/>
    <w:rsid w:val="009143DC"/>
    <w:rsid w:val="00914614"/>
    <w:rsid w:val="00914A7B"/>
    <w:rsid w:val="00914B68"/>
    <w:rsid w:val="00914E87"/>
    <w:rsid w:val="00915385"/>
    <w:rsid w:val="009155A9"/>
    <w:rsid w:val="009157E9"/>
    <w:rsid w:val="00915B4F"/>
    <w:rsid w:val="00915D1D"/>
    <w:rsid w:val="00915F99"/>
    <w:rsid w:val="00915FB6"/>
    <w:rsid w:val="009162A1"/>
    <w:rsid w:val="00916368"/>
    <w:rsid w:val="00916449"/>
    <w:rsid w:val="009166A2"/>
    <w:rsid w:val="00916AEB"/>
    <w:rsid w:val="00916B2B"/>
    <w:rsid w:val="00916FDD"/>
    <w:rsid w:val="009170FC"/>
    <w:rsid w:val="00917515"/>
    <w:rsid w:val="00917879"/>
    <w:rsid w:val="00917AD9"/>
    <w:rsid w:val="0092011A"/>
    <w:rsid w:val="0092094B"/>
    <w:rsid w:val="009209E1"/>
    <w:rsid w:val="00920D82"/>
    <w:rsid w:val="009210A8"/>
    <w:rsid w:val="00921290"/>
    <w:rsid w:val="0092164C"/>
    <w:rsid w:val="00921BA7"/>
    <w:rsid w:val="00921E32"/>
    <w:rsid w:val="00922CC9"/>
    <w:rsid w:val="00922F2B"/>
    <w:rsid w:val="0092304C"/>
    <w:rsid w:val="009234B1"/>
    <w:rsid w:val="00923708"/>
    <w:rsid w:val="00923C7D"/>
    <w:rsid w:val="00923EEC"/>
    <w:rsid w:val="00924121"/>
    <w:rsid w:val="009246E1"/>
    <w:rsid w:val="00924983"/>
    <w:rsid w:val="00924AEE"/>
    <w:rsid w:val="00924BB0"/>
    <w:rsid w:val="00924CC1"/>
    <w:rsid w:val="00924CF6"/>
    <w:rsid w:val="00924E29"/>
    <w:rsid w:val="009255D6"/>
    <w:rsid w:val="0092568B"/>
    <w:rsid w:val="00926320"/>
    <w:rsid w:val="0092642E"/>
    <w:rsid w:val="00926458"/>
    <w:rsid w:val="009265A3"/>
    <w:rsid w:val="009269FA"/>
    <w:rsid w:val="0092741F"/>
    <w:rsid w:val="00927594"/>
    <w:rsid w:val="009277E0"/>
    <w:rsid w:val="00927B13"/>
    <w:rsid w:val="00930130"/>
    <w:rsid w:val="0093023C"/>
    <w:rsid w:val="00930632"/>
    <w:rsid w:val="00930707"/>
    <w:rsid w:val="009308E3"/>
    <w:rsid w:val="00930D2E"/>
    <w:rsid w:val="00930D5F"/>
    <w:rsid w:val="00930E02"/>
    <w:rsid w:val="00931088"/>
    <w:rsid w:val="00931150"/>
    <w:rsid w:val="009312A8"/>
    <w:rsid w:val="00931795"/>
    <w:rsid w:val="00931873"/>
    <w:rsid w:val="009321C5"/>
    <w:rsid w:val="0093226C"/>
    <w:rsid w:val="00932992"/>
    <w:rsid w:val="0093317C"/>
    <w:rsid w:val="009333E0"/>
    <w:rsid w:val="009333F5"/>
    <w:rsid w:val="00933A35"/>
    <w:rsid w:val="00933C15"/>
    <w:rsid w:val="00933DC0"/>
    <w:rsid w:val="009347E8"/>
    <w:rsid w:val="00934DC7"/>
    <w:rsid w:val="009353A3"/>
    <w:rsid w:val="00935743"/>
    <w:rsid w:val="00935E55"/>
    <w:rsid w:val="009360CF"/>
    <w:rsid w:val="00936A3E"/>
    <w:rsid w:val="00936B6C"/>
    <w:rsid w:val="00936DF9"/>
    <w:rsid w:val="0093701E"/>
    <w:rsid w:val="00937B0D"/>
    <w:rsid w:val="00937FF2"/>
    <w:rsid w:val="009403CC"/>
    <w:rsid w:val="0094089A"/>
    <w:rsid w:val="009415B2"/>
    <w:rsid w:val="00941A00"/>
    <w:rsid w:val="009425C2"/>
    <w:rsid w:val="00942CAF"/>
    <w:rsid w:val="00942FCE"/>
    <w:rsid w:val="0094364C"/>
    <w:rsid w:val="00943C2C"/>
    <w:rsid w:val="009441BD"/>
    <w:rsid w:val="00944756"/>
    <w:rsid w:val="00944B4D"/>
    <w:rsid w:val="0094507F"/>
    <w:rsid w:val="0094541E"/>
    <w:rsid w:val="00945A6C"/>
    <w:rsid w:val="00945BBF"/>
    <w:rsid w:val="00945BCB"/>
    <w:rsid w:val="00945F92"/>
    <w:rsid w:val="0094621C"/>
    <w:rsid w:val="00946466"/>
    <w:rsid w:val="009465A4"/>
    <w:rsid w:val="009467C7"/>
    <w:rsid w:val="00946D9C"/>
    <w:rsid w:val="00946DD8"/>
    <w:rsid w:val="00946FF7"/>
    <w:rsid w:val="00947432"/>
    <w:rsid w:val="009477F2"/>
    <w:rsid w:val="009500C4"/>
    <w:rsid w:val="00950382"/>
    <w:rsid w:val="009503CA"/>
    <w:rsid w:val="00950A56"/>
    <w:rsid w:val="00950D2E"/>
    <w:rsid w:val="00951138"/>
    <w:rsid w:val="00951C63"/>
    <w:rsid w:val="0095246B"/>
    <w:rsid w:val="009524E8"/>
    <w:rsid w:val="0095310B"/>
    <w:rsid w:val="00953836"/>
    <w:rsid w:val="00953A83"/>
    <w:rsid w:val="00953DA7"/>
    <w:rsid w:val="00953DB3"/>
    <w:rsid w:val="00953F6C"/>
    <w:rsid w:val="00954387"/>
    <w:rsid w:val="009543EB"/>
    <w:rsid w:val="009548AB"/>
    <w:rsid w:val="00954E9D"/>
    <w:rsid w:val="009550B4"/>
    <w:rsid w:val="0095567A"/>
    <w:rsid w:val="009557A2"/>
    <w:rsid w:val="00955837"/>
    <w:rsid w:val="0095596C"/>
    <w:rsid w:val="00955C8E"/>
    <w:rsid w:val="00956124"/>
    <w:rsid w:val="00956554"/>
    <w:rsid w:val="00956A6C"/>
    <w:rsid w:val="00956D57"/>
    <w:rsid w:val="00957020"/>
    <w:rsid w:val="0095703E"/>
    <w:rsid w:val="009573D7"/>
    <w:rsid w:val="00957B60"/>
    <w:rsid w:val="00957E04"/>
    <w:rsid w:val="00957F4F"/>
    <w:rsid w:val="009602A9"/>
    <w:rsid w:val="00960490"/>
    <w:rsid w:val="0096077E"/>
    <w:rsid w:val="00960872"/>
    <w:rsid w:val="00960A76"/>
    <w:rsid w:val="00960B96"/>
    <w:rsid w:val="00961088"/>
    <w:rsid w:val="009611F4"/>
    <w:rsid w:val="009616FF"/>
    <w:rsid w:val="009617D5"/>
    <w:rsid w:val="00961912"/>
    <w:rsid w:val="0096192A"/>
    <w:rsid w:val="0096281F"/>
    <w:rsid w:val="00962B38"/>
    <w:rsid w:val="00962F2C"/>
    <w:rsid w:val="009631F6"/>
    <w:rsid w:val="00963314"/>
    <w:rsid w:val="009633DE"/>
    <w:rsid w:val="00963781"/>
    <w:rsid w:val="009638F5"/>
    <w:rsid w:val="00963AF5"/>
    <w:rsid w:val="00964091"/>
    <w:rsid w:val="00964093"/>
    <w:rsid w:val="00964388"/>
    <w:rsid w:val="0096468A"/>
    <w:rsid w:val="00964739"/>
    <w:rsid w:val="00965AA1"/>
    <w:rsid w:val="00965BB5"/>
    <w:rsid w:val="00966759"/>
    <w:rsid w:val="009667A1"/>
    <w:rsid w:val="00966B8B"/>
    <w:rsid w:val="00966F80"/>
    <w:rsid w:val="00967165"/>
    <w:rsid w:val="009673F9"/>
    <w:rsid w:val="00967D03"/>
    <w:rsid w:val="00967D22"/>
    <w:rsid w:val="00967DAE"/>
    <w:rsid w:val="00967FE0"/>
    <w:rsid w:val="009705AF"/>
    <w:rsid w:val="0097061B"/>
    <w:rsid w:val="0097072A"/>
    <w:rsid w:val="009709A9"/>
    <w:rsid w:val="00970D62"/>
    <w:rsid w:val="00971010"/>
    <w:rsid w:val="009712A2"/>
    <w:rsid w:val="0097155C"/>
    <w:rsid w:val="0097193A"/>
    <w:rsid w:val="009719A4"/>
    <w:rsid w:val="009719E9"/>
    <w:rsid w:val="00971FCF"/>
    <w:rsid w:val="00972097"/>
    <w:rsid w:val="009720D6"/>
    <w:rsid w:val="00972CA9"/>
    <w:rsid w:val="00972D8C"/>
    <w:rsid w:val="00973020"/>
    <w:rsid w:val="0097382B"/>
    <w:rsid w:val="009738AC"/>
    <w:rsid w:val="009739F5"/>
    <w:rsid w:val="0097419A"/>
    <w:rsid w:val="009744B6"/>
    <w:rsid w:val="00974807"/>
    <w:rsid w:val="00974EA0"/>
    <w:rsid w:val="0097519E"/>
    <w:rsid w:val="009756A8"/>
    <w:rsid w:val="0097578E"/>
    <w:rsid w:val="009757EB"/>
    <w:rsid w:val="009759B8"/>
    <w:rsid w:val="00975A74"/>
    <w:rsid w:val="00975E9D"/>
    <w:rsid w:val="00975EEB"/>
    <w:rsid w:val="00975FDF"/>
    <w:rsid w:val="00976023"/>
    <w:rsid w:val="009761B7"/>
    <w:rsid w:val="0097640D"/>
    <w:rsid w:val="00976597"/>
    <w:rsid w:val="00976B87"/>
    <w:rsid w:val="00976D6B"/>
    <w:rsid w:val="00976DBD"/>
    <w:rsid w:val="00976DF4"/>
    <w:rsid w:val="00976E34"/>
    <w:rsid w:val="0097714E"/>
    <w:rsid w:val="00977155"/>
    <w:rsid w:val="00977234"/>
    <w:rsid w:val="00977425"/>
    <w:rsid w:val="00977667"/>
    <w:rsid w:val="00980173"/>
    <w:rsid w:val="00980182"/>
    <w:rsid w:val="009801E4"/>
    <w:rsid w:val="00980536"/>
    <w:rsid w:val="009807AE"/>
    <w:rsid w:val="00980A3E"/>
    <w:rsid w:val="009811E5"/>
    <w:rsid w:val="00981337"/>
    <w:rsid w:val="009817CB"/>
    <w:rsid w:val="009818D2"/>
    <w:rsid w:val="00981B72"/>
    <w:rsid w:val="00981C9D"/>
    <w:rsid w:val="00981DC6"/>
    <w:rsid w:val="00981E95"/>
    <w:rsid w:val="009821FB"/>
    <w:rsid w:val="009826ED"/>
    <w:rsid w:val="00982C2A"/>
    <w:rsid w:val="00983F07"/>
    <w:rsid w:val="00984583"/>
    <w:rsid w:val="00984599"/>
    <w:rsid w:val="009846F3"/>
    <w:rsid w:val="0098484E"/>
    <w:rsid w:val="00984BFD"/>
    <w:rsid w:val="00984D32"/>
    <w:rsid w:val="009858B1"/>
    <w:rsid w:val="00985931"/>
    <w:rsid w:val="00985B18"/>
    <w:rsid w:val="00985B1B"/>
    <w:rsid w:val="00985BFD"/>
    <w:rsid w:val="00985EDA"/>
    <w:rsid w:val="00986132"/>
    <w:rsid w:val="00986209"/>
    <w:rsid w:val="009867D1"/>
    <w:rsid w:val="00986AD4"/>
    <w:rsid w:val="00986B80"/>
    <w:rsid w:val="009871BB"/>
    <w:rsid w:val="009872CF"/>
    <w:rsid w:val="009873B8"/>
    <w:rsid w:val="00987479"/>
    <w:rsid w:val="00987DFC"/>
    <w:rsid w:val="00987E52"/>
    <w:rsid w:val="0099001B"/>
    <w:rsid w:val="00990051"/>
    <w:rsid w:val="009901CE"/>
    <w:rsid w:val="009906FD"/>
    <w:rsid w:val="00990738"/>
    <w:rsid w:val="00990C52"/>
    <w:rsid w:val="00990C5C"/>
    <w:rsid w:val="00991805"/>
    <w:rsid w:val="0099182D"/>
    <w:rsid w:val="00991863"/>
    <w:rsid w:val="00992241"/>
    <w:rsid w:val="009922C6"/>
    <w:rsid w:val="009935B9"/>
    <w:rsid w:val="00993CDA"/>
    <w:rsid w:val="00993FF6"/>
    <w:rsid w:val="00994046"/>
    <w:rsid w:val="0099431C"/>
    <w:rsid w:val="0099441E"/>
    <w:rsid w:val="00994881"/>
    <w:rsid w:val="00994BF8"/>
    <w:rsid w:val="00994C74"/>
    <w:rsid w:val="00994D70"/>
    <w:rsid w:val="00995157"/>
    <w:rsid w:val="0099535B"/>
    <w:rsid w:val="009956EA"/>
    <w:rsid w:val="00995A13"/>
    <w:rsid w:val="00995CDC"/>
    <w:rsid w:val="00995D59"/>
    <w:rsid w:val="00996C7D"/>
    <w:rsid w:val="00996C96"/>
    <w:rsid w:val="00996F94"/>
    <w:rsid w:val="00997541"/>
    <w:rsid w:val="00997A3C"/>
    <w:rsid w:val="00997FEB"/>
    <w:rsid w:val="009A00F6"/>
    <w:rsid w:val="009A00FF"/>
    <w:rsid w:val="009A0188"/>
    <w:rsid w:val="009A0215"/>
    <w:rsid w:val="009A02A0"/>
    <w:rsid w:val="009A0627"/>
    <w:rsid w:val="009A0D3D"/>
    <w:rsid w:val="009A0E3D"/>
    <w:rsid w:val="009A0E55"/>
    <w:rsid w:val="009A1179"/>
    <w:rsid w:val="009A173E"/>
    <w:rsid w:val="009A1CE2"/>
    <w:rsid w:val="009A215E"/>
    <w:rsid w:val="009A2199"/>
    <w:rsid w:val="009A21D2"/>
    <w:rsid w:val="009A224D"/>
    <w:rsid w:val="009A28EE"/>
    <w:rsid w:val="009A2C32"/>
    <w:rsid w:val="009A2E7F"/>
    <w:rsid w:val="009A352A"/>
    <w:rsid w:val="009A3CDD"/>
    <w:rsid w:val="009A3F70"/>
    <w:rsid w:val="009A3FC8"/>
    <w:rsid w:val="009A404A"/>
    <w:rsid w:val="009A4052"/>
    <w:rsid w:val="009A423D"/>
    <w:rsid w:val="009A42B0"/>
    <w:rsid w:val="009A4471"/>
    <w:rsid w:val="009A4ADD"/>
    <w:rsid w:val="009A4B2C"/>
    <w:rsid w:val="009A4C77"/>
    <w:rsid w:val="009A4F5E"/>
    <w:rsid w:val="009A5256"/>
    <w:rsid w:val="009A5276"/>
    <w:rsid w:val="009A5360"/>
    <w:rsid w:val="009A5413"/>
    <w:rsid w:val="009A547E"/>
    <w:rsid w:val="009A56DB"/>
    <w:rsid w:val="009A59FA"/>
    <w:rsid w:val="009A5DAC"/>
    <w:rsid w:val="009A7097"/>
    <w:rsid w:val="009A7104"/>
    <w:rsid w:val="009A72D0"/>
    <w:rsid w:val="009A7478"/>
    <w:rsid w:val="009B061B"/>
    <w:rsid w:val="009B0BD4"/>
    <w:rsid w:val="009B0DD1"/>
    <w:rsid w:val="009B0DFD"/>
    <w:rsid w:val="009B0E78"/>
    <w:rsid w:val="009B0EEC"/>
    <w:rsid w:val="009B0F8E"/>
    <w:rsid w:val="009B1391"/>
    <w:rsid w:val="009B17FB"/>
    <w:rsid w:val="009B1CA7"/>
    <w:rsid w:val="009B1EBF"/>
    <w:rsid w:val="009B1EE1"/>
    <w:rsid w:val="009B1F5B"/>
    <w:rsid w:val="009B1F69"/>
    <w:rsid w:val="009B2147"/>
    <w:rsid w:val="009B224D"/>
    <w:rsid w:val="009B22BD"/>
    <w:rsid w:val="009B292F"/>
    <w:rsid w:val="009B2BF8"/>
    <w:rsid w:val="009B2DC4"/>
    <w:rsid w:val="009B331B"/>
    <w:rsid w:val="009B3A69"/>
    <w:rsid w:val="009B3C9A"/>
    <w:rsid w:val="009B3E54"/>
    <w:rsid w:val="009B40FC"/>
    <w:rsid w:val="009B42E8"/>
    <w:rsid w:val="009B44D1"/>
    <w:rsid w:val="009B44DA"/>
    <w:rsid w:val="009B451A"/>
    <w:rsid w:val="009B4775"/>
    <w:rsid w:val="009B4887"/>
    <w:rsid w:val="009B48D2"/>
    <w:rsid w:val="009B4E39"/>
    <w:rsid w:val="009B5753"/>
    <w:rsid w:val="009B62AD"/>
    <w:rsid w:val="009B69F0"/>
    <w:rsid w:val="009B70AD"/>
    <w:rsid w:val="009B7133"/>
    <w:rsid w:val="009B7155"/>
    <w:rsid w:val="009B7455"/>
    <w:rsid w:val="009C04B6"/>
    <w:rsid w:val="009C094A"/>
    <w:rsid w:val="009C0A91"/>
    <w:rsid w:val="009C0DDF"/>
    <w:rsid w:val="009C1152"/>
    <w:rsid w:val="009C12A6"/>
    <w:rsid w:val="009C1527"/>
    <w:rsid w:val="009C15F4"/>
    <w:rsid w:val="009C19B6"/>
    <w:rsid w:val="009C1B15"/>
    <w:rsid w:val="009C1B94"/>
    <w:rsid w:val="009C1C08"/>
    <w:rsid w:val="009C2412"/>
    <w:rsid w:val="009C2487"/>
    <w:rsid w:val="009C26F0"/>
    <w:rsid w:val="009C27F5"/>
    <w:rsid w:val="009C2B08"/>
    <w:rsid w:val="009C2D07"/>
    <w:rsid w:val="009C2EB0"/>
    <w:rsid w:val="009C30B4"/>
    <w:rsid w:val="009C30C1"/>
    <w:rsid w:val="009C33ED"/>
    <w:rsid w:val="009C36DF"/>
    <w:rsid w:val="009C3A80"/>
    <w:rsid w:val="009C3BEE"/>
    <w:rsid w:val="009C3DD3"/>
    <w:rsid w:val="009C40DD"/>
    <w:rsid w:val="009C45B0"/>
    <w:rsid w:val="009C46EA"/>
    <w:rsid w:val="009C4DA2"/>
    <w:rsid w:val="009C4E69"/>
    <w:rsid w:val="009C5028"/>
    <w:rsid w:val="009C533B"/>
    <w:rsid w:val="009C569C"/>
    <w:rsid w:val="009C5C40"/>
    <w:rsid w:val="009C5C8C"/>
    <w:rsid w:val="009C614C"/>
    <w:rsid w:val="009C696B"/>
    <w:rsid w:val="009C6E00"/>
    <w:rsid w:val="009C7355"/>
    <w:rsid w:val="009C737C"/>
    <w:rsid w:val="009C7476"/>
    <w:rsid w:val="009C74B1"/>
    <w:rsid w:val="009C7574"/>
    <w:rsid w:val="009C75A8"/>
    <w:rsid w:val="009C774A"/>
    <w:rsid w:val="009C7758"/>
    <w:rsid w:val="009C7A9F"/>
    <w:rsid w:val="009C7DE0"/>
    <w:rsid w:val="009D00C6"/>
    <w:rsid w:val="009D0177"/>
    <w:rsid w:val="009D01EB"/>
    <w:rsid w:val="009D0233"/>
    <w:rsid w:val="009D0942"/>
    <w:rsid w:val="009D09BD"/>
    <w:rsid w:val="009D09CC"/>
    <w:rsid w:val="009D0BDC"/>
    <w:rsid w:val="009D0DCA"/>
    <w:rsid w:val="009D0E41"/>
    <w:rsid w:val="009D10DD"/>
    <w:rsid w:val="009D13D3"/>
    <w:rsid w:val="009D1A3E"/>
    <w:rsid w:val="009D1EAD"/>
    <w:rsid w:val="009D21BE"/>
    <w:rsid w:val="009D277C"/>
    <w:rsid w:val="009D2817"/>
    <w:rsid w:val="009D281E"/>
    <w:rsid w:val="009D2A61"/>
    <w:rsid w:val="009D2F01"/>
    <w:rsid w:val="009D306F"/>
    <w:rsid w:val="009D32D8"/>
    <w:rsid w:val="009D387E"/>
    <w:rsid w:val="009D3892"/>
    <w:rsid w:val="009D3D24"/>
    <w:rsid w:val="009D3DCD"/>
    <w:rsid w:val="009D4428"/>
    <w:rsid w:val="009D469C"/>
    <w:rsid w:val="009D4730"/>
    <w:rsid w:val="009D4878"/>
    <w:rsid w:val="009D4D75"/>
    <w:rsid w:val="009D56D1"/>
    <w:rsid w:val="009D5A19"/>
    <w:rsid w:val="009D5F33"/>
    <w:rsid w:val="009D61CF"/>
    <w:rsid w:val="009D6396"/>
    <w:rsid w:val="009D64BB"/>
    <w:rsid w:val="009D6555"/>
    <w:rsid w:val="009D6CE0"/>
    <w:rsid w:val="009D6D24"/>
    <w:rsid w:val="009D6EEF"/>
    <w:rsid w:val="009D731E"/>
    <w:rsid w:val="009D73C1"/>
    <w:rsid w:val="009D74D9"/>
    <w:rsid w:val="009D7B08"/>
    <w:rsid w:val="009E05E9"/>
    <w:rsid w:val="009E07C4"/>
    <w:rsid w:val="009E098B"/>
    <w:rsid w:val="009E0A80"/>
    <w:rsid w:val="009E0FB2"/>
    <w:rsid w:val="009E1420"/>
    <w:rsid w:val="009E1472"/>
    <w:rsid w:val="009E17B4"/>
    <w:rsid w:val="009E1A34"/>
    <w:rsid w:val="009E25EC"/>
    <w:rsid w:val="009E285F"/>
    <w:rsid w:val="009E28DE"/>
    <w:rsid w:val="009E2A62"/>
    <w:rsid w:val="009E2C6D"/>
    <w:rsid w:val="009E2FFE"/>
    <w:rsid w:val="009E3543"/>
    <w:rsid w:val="009E3618"/>
    <w:rsid w:val="009E388E"/>
    <w:rsid w:val="009E3902"/>
    <w:rsid w:val="009E3A35"/>
    <w:rsid w:val="009E435B"/>
    <w:rsid w:val="009E437B"/>
    <w:rsid w:val="009E4464"/>
    <w:rsid w:val="009E464B"/>
    <w:rsid w:val="009E4D3B"/>
    <w:rsid w:val="009E52A9"/>
    <w:rsid w:val="009E5679"/>
    <w:rsid w:val="009E59E9"/>
    <w:rsid w:val="009E5B6F"/>
    <w:rsid w:val="009E5BA6"/>
    <w:rsid w:val="009E5CC1"/>
    <w:rsid w:val="009E5E52"/>
    <w:rsid w:val="009E5F15"/>
    <w:rsid w:val="009E6108"/>
    <w:rsid w:val="009E612F"/>
    <w:rsid w:val="009E628C"/>
    <w:rsid w:val="009E6335"/>
    <w:rsid w:val="009E680B"/>
    <w:rsid w:val="009E6D35"/>
    <w:rsid w:val="009E6DFE"/>
    <w:rsid w:val="009E7758"/>
    <w:rsid w:val="009E7B22"/>
    <w:rsid w:val="009E7C03"/>
    <w:rsid w:val="009E7CB5"/>
    <w:rsid w:val="009F0100"/>
    <w:rsid w:val="009F0514"/>
    <w:rsid w:val="009F0701"/>
    <w:rsid w:val="009F0FF2"/>
    <w:rsid w:val="009F100D"/>
    <w:rsid w:val="009F123A"/>
    <w:rsid w:val="009F1536"/>
    <w:rsid w:val="009F1883"/>
    <w:rsid w:val="009F188C"/>
    <w:rsid w:val="009F1DE5"/>
    <w:rsid w:val="009F20F9"/>
    <w:rsid w:val="009F2957"/>
    <w:rsid w:val="009F2C94"/>
    <w:rsid w:val="009F2D48"/>
    <w:rsid w:val="009F2FAC"/>
    <w:rsid w:val="009F30B6"/>
    <w:rsid w:val="009F3A8B"/>
    <w:rsid w:val="009F3AF1"/>
    <w:rsid w:val="009F450E"/>
    <w:rsid w:val="009F4AB1"/>
    <w:rsid w:val="009F4E03"/>
    <w:rsid w:val="009F57CA"/>
    <w:rsid w:val="009F591C"/>
    <w:rsid w:val="009F59D4"/>
    <w:rsid w:val="009F5C6E"/>
    <w:rsid w:val="009F60CF"/>
    <w:rsid w:val="009F6BF1"/>
    <w:rsid w:val="009F6BFF"/>
    <w:rsid w:val="009F6E35"/>
    <w:rsid w:val="009F761B"/>
    <w:rsid w:val="009F7A6B"/>
    <w:rsid w:val="009F7E37"/>
    <w:rsid w:val="00A00203"/>
    <w:rsid w:val="00A00319"/>
    <w:rsid w:val="00A0037E"/>
    <w:rsid w:val="00A00807"/>
    <w:rsid w:val="00A015BA"/>
    <w:rsid w:val="00A0165A"/>
    <w:rsid w:val="00A018B4"/>
    <w:rsid w:val="00A019FD"/>
    <w:rsid w:val="00A01C07"/>
    <w:rsid w:val="00A022B2"/>
    <w:rsid w:val="00A02553"/>
    <w:rsid w:val="00A02895"/>
    <w:rsid w:val="00A03133"/>
    <w:rsid w:val="00A03139"/>
    <w:rsid w:val="00A03518"/>
    <w:rsid w:val="00A043FB"/>
    <w:rsid w:val="00A04503"/>
    <w:rsid w:val="00A04596"/>
    <w:rsid w:val="00A04643"/>
    <w:rsid w:val="00A047DF"/>
    <w:rsid w:val="00A04B3F"/>
    <w:rsid w:val="00A05413"/>
    <w:rsid w:val="00A05481"/>
    <w:rsid w:val="00A05C24"/>
    <w:rsid w:val="00A062D2"/>
    <w:rsid w:val="00A06332"/>
    <w:rsid w:val="00A063F2"/>
    <w:rsid w:val="00A0659E"/>
    <w:rsid w:val="00A06664"/>
    <w:rsid w:val="00A06695"/>
    <w:rsid w:val="00A06698"/>
    <w:rsid w:val="00A06A81"/>
    <w:rsid w:val="00A06B70"/>
    <w:rsid w:val="00A06D3E"/>
    <w:rsid w:val="00A06FBD"/>
    <w:rsid w:val="00A079A6"/>
    <w:rsid w:val="00A07DD2"/>
    <w:rsid w:val="00A07F49"/>
    <w:rsid w:val="00A10327"/>
    <w:rsid w:val="00A10386"/>
    <w:rsid w:val="00A103A2"/>
    <w:rsid w:val="00A103FA"/>
    <w:rsid w:val="00A10615"/>
    <w:rsid w:val="00A113F7"/>
    <w:rsid w:val="00A114F2"/>
    <w:rsid w:val="00A11872"/>
    <w:rsid w:val="00A11F7F"/>
    <w:rsid w:val="00A12430"/>
    <w:rsid w:val="00A126A4"/>
    <w:rsid w:val="00A12A11"/>
    <w:rsid w:val="00A12A7E"/>
    <w:rsid w:val="00A12E30"/>
    <w:rsid w:val="00A12FB6"/>
    <w:rsid w:val="00A13541"/>
    <w:rsid w:val="00A1384C"/>
    <w:rsid w:val="00A13916"/>
    <w:rsid w:val="00A14082"/>
    <w:rsid w:val="00A1427A"/>
    <w:rsid w:val="00A14541"/>
    <w:rsid w:val="00A145AA"/>
    <w:rsid w:val="00A1509F"/>
    <w:rsid w:val="00A1517D"/>
    <w:rsid w:val="00A15533"/>
    <w:rsid w:val="00A155BC"/>
    <w:rsid w:val="00A15970"/>
    <w:rsid w:val="00A15D42"/>
    <w:rsid w:val="00A162BB"/>
    <w:rsid w:val="00A164A3"/>
    <w:rsid w:val="00A16588"/>
    <w:rsid w:val="00A16591"/>
    <w:rsid w:val="00A165BB"/>
    <w:rsid w:val="00A16B4D"/>
    <w:rsid w:val="00A1759F"/>
    <w:rsid w:val="00A1768E"/>
    <w:rsid w:val="00A17CAD"/>
    <w:rsid w:val="00A17D70"/>
    <w:rsid w:val="00A20088"/>
    <w:rsid w:val="00A209E0"/>
    <w:rsid w:val="00A20A71"/>
    <w:rsid w:val="00A20C11"/>
    <w:rsid w:val="00A20C32"/>
    <w:rsid w:val="00A20E86"/>
    <w:rsid w:val="00A2112E"/>
    <w:rsid w:val="00A21164"/>
    <w:rsid w:val="00A214CF"/>
    <w:rsid w:val="00A2165D"/>
    <w:rsid w:val="00A216A6"/>
    <w:rsid w:val="00A2183D"/>
    <w:rsid w:val="00A22015"/>
    <w:rsid w:val="00A222BB"/>
    <w:rsid w:val="00A2241D"/>
    <w:rsid w:val="00A22885"/>
    <w:rsid w:val="00A228B2"/>
    <w:rsid w:val="00A228E4"/>
    <w:rsid w:val="00A22A00"/>
    <w:rsid w:val="00A22B21"/>
    <w:rsid w:val="00A22B9E"/>
    <w:rsid w:val="00A22CE9"/>
    <w:rsid w:val="00A22FA7"/>
    <w:rsid w:val="00A23520"/>
    <w:rsid w:val="00A23C1D"/>
    <w:rsid w:val="00A24974"/>
    <w:rsid w:val="00A24C0A"/>
    <w:rsid w:val="00A24F67"/>
    <w:rsid w:val="00A2535D"/>
    <w:rsid w:val="00A254A1"/>
    <w:rsid w:val="00A2575F"/>
    <w:rsid w:val="00A25BA9"/>
    <w:rsid w:val="00A25BC0"/>
    <w:rsid w:val="00A25BF0"/>
    <w:rsid w:val="00A25E0D"/>
    <w:rsid w:val="00A25F6D"/>
    <w:rsid w:val="00A25FF1"/>
    <w:rsid w:val="00A263FC"/>
    <w:rsid w:val="00A26577"/>
    <w:rsid w:val="00A265E9"/>
    <w:rsid w:val="00A26E45"/>
    <w:rsid w:val="00A26EDA"/>
    <w:rsid w:val="00A271D5"/>
    <w:rsid w:val="00A2774E"/>
    <w:rsid w:val="00A27E0B"/>
    <w:rsid w:val="00A27EAF"/>
    <w:rsid w:val="00A27EB3"/>
    <w:rsid w:val="00A30110"/>
    <w:rsid w:val="00A3030C"/>
    <w:rsid w:val="00A309A6"/>
    <w:rsid w:val="00A30BF6"/>
    <w:rsid w:val="00A30F88"/>
    <w:rsid w:val="00A31381"/>
    <w:rsid w:val="00A31AD4"/>
    <w:rsid w:val="00A31B5D"/>
    <w:rsid w:val="00A31F55"/>
    <w:rsid w:val="00A3214F"/>
    <w:rsid w:val="00A32559"/>
    <w:rsid w:val="00A325FC"/>
    <w:rsid w:val="00A32AE5"/>
    <w:rsid w:val="00A32EBE"/>
    <w:rsid w:val="00A3322A"/>
    <w:rsid w:val="00A3325F"/>
    <w:rsid w:val="00A33468"/>
    <w:rsid w:val="00A33948"/>
    <w:rsid w:val="00A339DA"/>
    <w:rsid w:val="00A33D79"/>
    <w:rsid w:val="00A33DCE"/>
    <w:rsid w:val="00A34114"/>
    <w:rsid w:val="00A343AF"/>
    <w:rsid w:val="00A345BA"/>
    <w:rsid w:val="00A3485B"/>
    <w:rsid w:val="00A34FF8"/>
    <w:rsid w:val="00A353ED"/>
    <w:rsid w:val="00A35662"/>
    <w:rsid w:val="00A35734"/>
    <w:rsid w:val="00A3574A"/>
    <w:rsid w:val="00A36109"/>
    <w:rsid w:val="00A37375"/>
    <w:rsid w:val="00A373B8"/>
    <w:rsid w:val="00A375F6"/>
    <w:rsid w:val="00A37B74"/>
    <w:rsid w:val="00A37DCB"/>
    <w:rsid w:val="00A37E7B"/>
    <w:rsid w:val="00A400DF"/>
    <w:rsid w:val="00A4059E"/>
    <w:rsid w:val="00A408E6"/>
    <w:rsid w:val="00A40C95"/>
    <w:rsid w:val="00A41312"/>
    <w:rsid w:val="00A4159D"/>
    <w:rsid w:val="00A415E5"/>
    <w:rsid w:val="00A41761"/>
    <w:rsid w:val="00A41A11"/>
    <w:rsid w:val="00A41A2F"/>
    <w:rsid w:val="00A41FD5"/>
    <w:rsid w:val="00A42193"/>
    <w:rsid w:val="00A42223"/>
    <w:rsid w:val="00A42B14"/>
    <w:rsid w:val="00A42F35"/>
    <w:rsid w:val="00A431F9"/>
    <w:rsid w:val="00A43BF4"/>
    <w:rsid w:val="00A43C76"/>
    <w:rsid w:val="00A43FDD"/>
    <w:rsid w:val="00A4408C"/>
    <w:rsid w:val="00A445D9"/>
    <w:rsid w:val="00A44C0C"/>
    <w:rsid w:val="00A44D65"/>
    <w:rsid w:val="00A46CEC"/>
    <w:rsid w:val="00A46D82"/>
    <w:rsid w:val="00A46DA4"/>
    <w:rsid w:val="00A46EDB"/>
    <w:rsid w:val="00A47053"/>
    <w:rsid w:val="00A47125"/>
    <w:rsid w:val="00A47410"/>
    <w:rsid w:val="00A474E0"/>
    <w:rsid w:val="00A4792A"/>
    <w:rsid w:val="00A47B15"/>
    <w:rsid w:val="00A47D26"/>
    <w:rsid w:val="00A50A9D"/>
    <w:rsid w:val="00A511B9"/>
    <w:rsid w:val="00A5130A"/>
    <w:rsid w:val="00A5133D"/>
    <w:rsid w:val="00A51B60"/>
    <w:rsid w:val="00A51E9C"/>
    <w:rsid w:val="00A51EEF"/>
    <w:rsid w:val="00A51F97"/>
    <w:rsid w:val="00A5227C"/>
    <w:rsid w:val="00A5328D"/>
    <w:rsid w:val="00A53DCE"/>
    <w:rsid w:val="00A5433E"/>
    <w:rsid w:val="00A54548"/>
    <w:rsid w:val="00A55075"/>
    <w:rsid w:val="00A568B2"/>
    <w:rsid w:val="00A568FE"/>
    <w:rsid w:val="00A56BB3"/>
    <w:rsid w:val="00A56EAA"/>
    <w:rsid w:val="00A56F36"/>
    <w:rsid w:val="00A572BE"/>
    <w:rsid w:val="00A5734B"/>
    <w:rsid w:val="00A5736E"/>
    <w:rsid w:val="00A57398"/>
    <w:rsid w:val="00A57798"/>
    <w:rsid w:val="00A5783D"/>
    <w:rsid w:val="00A57845"/>
    <w:rsid w:val="00A578DD"/>
    <w:rsid w:val="00A5793B"/>
    <w:rsid w:val="00A57AC9"/>
    <w:rsid w:val="00A60078"/>
    <w:rsid w:val="00A60946"/>
    <w:rsid w:val="00A60A5A"/>
    <w:rsid w:val="00A60B92"/>
    <w:rsid w:val="00A60BAB"/>
    <w:rsid w:val="00A60CC6"/>
    <w:rsid w:val="00A60DCD"/>
    <w:rsid w:val="00A61541"/>
    <w:rsid w:val="00A61D54"/>
    <w:rsid w:val="00A61D7A"/>
    <w:rsid w:val="00A61FEA"/>
    <w:rsid w:val="00A621D5"/>
    <w:rsid w:val="00A624E4"/>
    <w:rsid w:val="00A62F1D"/>
    <w:rsid w:val="00A639C9"/>
    <w:rsid w:val="00A63BC2"/>
    <w:rsid w:val="00A63D29"/>
    <w:rsid w:val="00A63EC1"/>
    <w:rsid w:val="00A63EFE"/>
    <w:rsid w:val="00A64058"/>
    <w:rsid w:val="00A6427F"/>
    <w:rsid w:val="00A64746"/>
    <w:rsid w:val="00A650C2"/>
    <w:rsid w:val="00A651AD"/>
    <w:rsid w:val="00A65347"/>
    <w:rsid w:val="00A6547C"/>
    <w:rsid w:val="00A65631"/>
    <w:rsid w:val="00A65835"/>
    <w:rsid w:val="00A65A40"/>
    <w:rsid w:val="00A65AF4"/>
    <w:rsid w:val="00A65B0C"/>
    <w:rsid w:val="00A65CE3"/>
    <w:rsid w:val="00A660FF"/>
    <w:rsid w:val="00A66A00"/>
    <w:rsid w:val="00A66B16"/>
    <w:rsid w:val="00A66F37"/>
    <w:rsid w:val="00A67275"/>
    <w:rsid w:val="00A6755D"/>
    <w:rsid w:val="00A6774C"/>
    <w:rsid w:val="00A678E9"/>
    <w:rsid w:val="00A701F9"/>
    <w:rsid w:val="00A70B87"/>
    <w:rsid w:val="00A70F88"/>
    <w:rsid w:val="00A71116"/>
    <w:rsid w:val="00A712B1"/>
    <w:rsid w:val="00A714C9"/>
    <w:rsid w:val="00A71F9F"/>
    <w:rsid w:val="00A725C4"/>
    <w:rsid w:val="00A731D6"/>
    <w:rsid w:val="00A7329F"/>
    <w:rsid w:val="00A732DB"/>
    <w:rsid w:val="00A73308"/>
    <w:rsid w:val="00A73329"/>
    <w:rsid w:val="00A74557"/>
    <w:rsid w:val="00A74D60"/>
    <w:rsid w:val="00A75709"/>
    <w:rsid w:val="00A75AA5"/>
    <w:rsid w:val="00A75B30"/>
    <w:rsid w:val="00A75BD8"/>
    <w:rsid w:val="00A75CC4"/>
    <w:rsid w:val="00A765BF"/>
    <w:rsid w:val="00A76B4C"/>
    <w:rsid w:val="00A76DA8"/>
    <w:rsid w:val="00A76E4D"/>
    <w:rsid w:val="00A77206"/>
    <w:rsid w:val="00A7728C"/>
    <w:rsid w:val="00A77812"/>
    <w:rsid w:val="00A77E1F"/>
    <w:rsid w:val="00A77EDA"/>
    <w:rsid w:val="00A8021E"/>
    <w:rsid w:val="00A80D5F"/>
    <w:rsid w:val="00A813A8"/>
    <w:rsid w:val="00A8164E"/>
    <w:rsid w:val="00A817A4"/>
    <w:rsid w:val="00A8195E"/>
    <w:rsid w:val="00A81B90"/>
    <w:rsid w:val="00A81E16"/>
    <w:rsid w:val="00A82D0F"/>
    <w:rsid w:val="00A82D20"/>
    <w:rsid w:val="00A83451"/>
    <w:rsid w:val="00A83614"/>
    <w:rsid w:val="00A83D01"/>
    <w:rsid w:val="00A84DA0"/>
    <w:rsid w:val="00A860FF"/>
    <w:rsid w:val="00A866BA"/>
    <w:rsid w:val="00A86C3B"/>
    <w:rsid w:val="00A872AF"/>
    <w:rsid w:val="00A876C4"/>
    <w:rsid w:val="00A87BA8"/>
    <w:rsid w:val="00A905D1"/>
    <w:rsid w:val="00A905F7"/>
    <w:rsid w:val="00A909B4"/>
    <w:rsid w:val="00A912E1"/>
    <w:rsid w:val="00A91525"/>
    <w:rsid w:val="00A91798"/>
    <w:rsid w:val="00A922F8"/>
    <w:rsid w:val="00A92553"/>
    <w:rsid w:val="00A9259E"/>
    <w:rsid w:val="00A92875"/>
    <w:rsid w:val="00A92958"/>
    <w:rsid w:val="00A92BFF"/>
    <w:rsid w:val="00A92D6C"/>
    <w:rsid w:val="00A93067"/>
    <w:rsid w:val="00A932F5"/>
    <w:rsid w:val="00A933B6"/>
    <w:rsid w:val="00A939DA"/>
    <w:rsid w:val="00A939F6"/>
    <w:rsid w:val="00A94662"/>
    <w:rsid w:val="00A94A98"/>
    <w:rsid w:val="00A95138"/>
    <w:rsid w:val="00A951DA"/>
    <w:rsid w:val="00A9549D"/>
    <w:rsid w:val="00A955B5"/>
    <w:rsid w:val="00A9573C"/>
    <w:rsid w:val="00A95E9A"/>
    <w:rsid w:val="00A9628E"/>
    <w:rsid w:val="00A963E9"/>
    <w:rsid w:val="00A96534"/>
    <w:rsid w:val="00A96688"/>
    <w:rsid w:val="00A96ADA"/>
    <w:rsid w:val="00A96D19"/>
    <w:rsid w:val="00A96E17"/>
    <w:rsid w:val="00A97121"/>
    <w:rsid w:val="00A97191"/>
    <w:rsid w:val="00A9752D"/>
    <w:rsid w:val="00A9761C"/>
    <w:rsid w:val="00A9776C"/>
    <w:rsid w:val="00A97D70"/>
    <w:rsid w:val="00A97F32"/>
    <w:rsid w:val="00AA09A9"/>
    <w:rsid w:val="00AA0A82"/>
    <w:rsid w:val="00AA0D96"/>
    <w:rsid w:val="00AA12B8"/>
    <w:rsid w:val="00AA1376"/>
    <w:rsid w:val="00AA1725"/>
    <w:rsid w:val="00AA2266"/>
    <w:rsid w:val="00AA22DA"/>
    <w:rsid w:val="00AA2792"/>
    <w:rsid w:val="00AA2795"/>
    <w:rsid w:val="00AA31C9"/>
    <w:rsid w:val="00AA35DF"/>
    <w:rsid w:val="00AA3D22"/>
    <w:rsid w:val="00AA4023"/>
    <w:rsid w:val="00AA4643"/>
    <w:rsid w:val="00AA48B1"/>
    <w:rsid w:val="00AA54DD"/>
    <w:rsid w:val="00AA5586"/>
    <w:rsid w:val="00AA574B"/>
    <w:rsid w:val="00AA575E"/>
    <w:rsid w:val="00AA579A"/>
    <w:rsid w:val="00AA6010"/>
    <w:rsid w:val="00AA6C38"/>
    <w:rsid w:val="00AA6E3A"/>
    <w:rsid w:val="00AA6FA6"/>
    <w:rsid w:val="00AA705A"/>
    <w:rsid w:val="00AA78E3"/>
    <w:rsid w:val="00AA7E63"/>
    <w:rsid w:val="00AB0068"/>
    <w:rsid w:val="00AB0172"/>
    <w:rsid w:val="00AB0352"/>
    <w:rsid w:val="00AB04A4"/>
    <w:rsid w:val="00AB072B"/>
    <w:rsid w:val="00AB077D"/>
    <w:rsid w:val="00AB0866"/>
    <w:rsid w:val="00AB0CA2"/>
    <w:rsid w:val="00AB127D"/>
    <w:rsid w:val="00AB145F"/>
    <w:rsid w:val="00AB16F5"/>
    <w:rsid w:val="00AB1C55"/>
    <w:rsid w:val="00AB1D32"/>
    <w:rsid w:val="00AB1D33"/>
    <w:rsid w:val="00AB1D66"/>
    <w:rsid w:val="00AB2220"/>
    <w:rsid w:val="00AB23A4"/>
    <w:rsid w:val="00AB2614"/>
    <w:rsid w:val="00AB2A5D"/>
    <w:rsid w:val="00AB2BDC"/>
    <w:rsid w:val="00AB2C28"/>
    <w:rsid w:val="00AB2E7A"/>
    <w:rsid w:val="00AB32CB"/>
    <w:rsid w:val="00AB354E"/>
    <w:rsid w:val="00AB3920"/>
    <w:rsid w:val="00AB3D54"/>
    <w:rsid w:val="00AB3EDC"/>
    <w:rsid w:val="00AB47F8"/>
    <w:rsid w:val="00AB4A61"/>
    <w:rsid w:val="00AB4B38"/>
    <w:rsid w:val="00AB5187"/>
    <w:rsid w:val="00AB559E"/>
    <w:rsid w:val="00AB57B4"/>
    <w:rsid w:val="00AB57E3"/>
    <w:rsid w:val="00AB599E"/>
    <w:rsid w:val="00AB62D5"/>
    <w:rsid w:val="00AB643C"/>
    <w:rsid w:val="00AB663C"/>
    <w:rsid w:val="00AB6669"/>
    <w:rsid w:val="00AB6D54"/>
    <w:rsid w:val="00AB6F0A"/>
    <w:rsid w:val="00AB6F16"/>
    <w:rsid w:val="00AB74C5"/>
    <w:rsid w:val="00AB78EF"/>
    <w:rsid w:val="00AB7B24"/>
    <w:rsid w:val="00AB7B3A"/>
    <w:rsid w:val="00AB7EC7"/>
    <w:rsid w:val="00AC055A"/>
    <w:rsid w:val="00AC164E"/>
    <w:rsid w:val="00AC1CF2"/>
    <w:rsid w:val="00AC2123"/>
    <w:rsid w:val="00AC21A5"/>
    <w:rsid w:val="00AC2B35"/>
    <w:rsid w:val="00AC2C70"/>
    <w:rsid w:val="00AC2C8E"/>
    <w:rsid w:val="00AC3054"/>
    <w:rsid w:val="00AC3D46"/>
    <w:rsid w:val="00AC41D5"/>
    <w:rsid w:val="00AC4336"/>
    <w:rsid w:val="00AC4394"/>
    <w:rsid w:val="00AC4617"/>
    <w:rsid w:val="00AC4952"/>
    <w:rsid w:val="00AC4961"/>
    <w:rsid w:val="00AC4AE7"/>
    <w:rsid w:val="00AC4B16"/>
    <w:rsid w:val="00AC50B0"/>
    <w:rsid w:val="00AC5224"/>
    <w:rsid w:val="00AC55B2"/>
    <w:rsid w:val="00AC5B5E"/>
    <w:rsid w:val="00AC6261"/>
    <w:rsid w:val="00AC630D"/>
    <w:rsid w:val="00AC6527"/>
    <w:rsid w:val="00AC6590"/>
    <w:rsid w:val="00AC686E"/>
    <w:rsid w:val="00AC6C5A"/>
    <w:rsid w:val="00AC6E32"/>
    <w:rsid w:val="00AC6FCC"/>
    <w:rsid w:val="00AC7313"/>
    <w:rsid w:val="00AC7395"/>
    <w:rsid w:val="00AC7750"/>
    <w:rsid w:val="00AC7787"/>
    <w:rsid w:val="00AC795C"/>
    <w:rsid w:val="00AC7FB2"/>
    <w:rsid w:val="00AD0078"/>
    <w:rsid w:val="00AD0324"/>
    <w:rsid w:val="00AD03BF"/>
    <w:rsid w:val="00AD1303"/>
    <w:rsid w:val="00AD13E2"/>
    <w:rsid w:val="00AD1541"/>
    <w:rsid w:val="00AD16CE"/>
    <w:rsid w:val="00AD16D7"/>
    <w:rsid w:val="00AD1B52"/>
    <w:rsid w:val="00AD207B"/>
    <w:rsid w:val="00AD20BB"/>
    <w:rsid w:val="00AD2349"/>
    <w:rsid w:val="00AD24B2"/>
    <w:rsid w:val="00AD2734"/>
    <w:rsid w:val="00AD281F"/>
    <w:rsid w:val="00AD2F3C"/>
    <w:rsid w:val="00AD30B3"/>
    <w:rsid w:val="00AD31AF"/>
    <w:rsid w:val="00AD36D6"/>
    <w:rsid w:val="00AD36DE"/>
    <w:rsid w:val="00AD3999"/>
    <w:rsid w:val="00AD3F5C"/>
    <w:rsid w:val="00AD40E2"/>
    <w:rsid w:val="00AD40F2"/>
    <w:rsid w:val="00AD4364"/>
    <w:rsid w:val="00AD461A"/>
    <w:rsid w:val="00AD48E5"/>
    <w:rsid w:val="00AD4A83"/>
    <w:rsid w:val="00AD4C4B"/>
    <w:rsid w:val="00AD53E0"/>
    <w:rsid w:val="00AD5BEB"/>
    <w:rsid w:val="00AD6171"/>
    <w:rsid w:val="00AD649E"/>
    <w:rsid w:val="00AD65BE"/>
    <w:rsid w:val="00AD6721"/>
    <w:rsid w:val="00AD68C4"/>
    <w:rsid w:val="00AD6C6D"/>
    <w:rsid w:val="00AD7297"/>
    <w:rsid w:val="00AD74B1"/>
    <w:rsid w:val="00AD7A68"/>
    <w:rsid w:val="00AD7A8C"/>
    <w:rsid w:val="00AD7D51"/>
    <w:rsid w:val="00AD7F03"/>
    <w:rsid w:val="00AE02BE"/>
    <w:rsid w:val="00AE02C7"/>
    <w:rsid w:val="00AE08D1"/>
    <w:rsid w:val="00AE0E64"/>
    <w:rsid w:val="00AE171E"/>
    <w:rsid w:val="00AE1A0F"/>
    <w:rsid w:val="00AE1ACD"/>
    <w:rsid w:val="00AE1C27"/>
    <w:rsid w:val="00AE1EDE"/>
    <w:rsid w:val="00AE255C"/>
    <w:rsid w:val="00AE2F03"/>
    <w:rsid w:val="00AE36B5"/>
    <w:rsid w:val="00AE36F6"/>
    <w:rsid w:val="00AE4079"/>
    <w:rsid w:val="00AE469E"/>
    <w:rsid w:val="00AE4E53"/>
    <w:rsid w:val="00AE50EF"/>
    <w:rsid w:val="00AE515A"/>
    <w:rsid w:val="00AE52B0"/>
    <w:rsid w:val="00AE55BA"/>
    <w:rsid w:val="00AE5B4F"/>
    <w:rsid w:val="00AE5DD4"/>
    <w:rsid w:val="00AE6416"/>
    <w:rsid w:val="00AE65CB"/>
    <w:rsid w:val="00AE665A"/>
    <w:rsid w:val="00AE6A0A"/>
    <w:rsid w:val="00AE6AEE"/>
    <w:rsid w:val="00AE6E51"/>
    <w:rsid w:val="00AE6EE3"/>
    <w:rsid w:val="00AE6FFF"/>
    <w:rsid w:val="00AE7118"/>
    <w:rsid w:val="00AE72CE"/>
    <w:rsid w:val="00AE7CD2"/>
    <w:rsid w:val="00AE7FD8"/>
    <w:rsid w:val="00AF0568"/>
    <w:rsid w:val="00AF0604"/>
    <w:rsid w:val="00AF07F7"/>
    <w:rsid w:val="00AF0A1C"/>
    <w:rsid w:val="00AF0EFC"/>
    <w:rsid w:val="00AF1673"/>
    <w:rsid w:val="00AF185D"/>
    <w:rsid w:val="00AF1909"/>
    <w:rsid w:val="00AF1E8D"/>
    <w:rsid w:val="00AF1FB9"/>
    <w:rsid w:val="00AF213D"/>
    <w:rsid w:val="00AF24B4"/>
    <w:rsid w:val="00AF25CF"/>
    <w:rsid w:val="00AF27E6"/>
    <w:rsid w:val="00AF2A91"/>
    <w:rsid w:val="00AF3742"/>
    <w:rsid w:val="00AF3F7B"/>
    <w:rsid w:val="00AF4063"/>
    <w:rsid w:val="00AF447C"/>
    <w:rsid w:val="00AF546A"/>
    <w:rsid w:val="00AF5B49"/>
    <w:rsid w:val="00AF5BAF"/>
    <w:rsid w:val="00AF5D54"/>
    <w:rsid w:val="00AF5E5B"/>
    <w:rsid w:val="00AF5F77"/>
    <w:rsid w:val="00AF652C"/>
    <w:rsid w:val="00AF6778"/>
    <w:rsid w:val="00AF68F0"/>
    <w:rsid w:val="00AF68F6"/>
    <w:rsid w:val="00AF6F94"/>
    <w:rsid w:val="00AF719A"/>
    <w:rsid w:val="00AF74EB"/>
    <w:rsid w:val="00AF7572"/>
    <w:rsid w:val="00AF7E35"/>
    <w:rsid w:val="00B00CF4"/>
    <w:rsid w:val="00B0113B"/>
    <w:rsid w:val="00B01340"/>
    <w:rsid w:val="00B01517"/>
    <w:rsid w:val="00B018B1"/>
    <w:rsid w:val="00B019F9"/>
    <w:rsid w:val="00B01A47"/>
    <w:rsid w:val="00B01B6E"/>
    <w:rsid w:val="00B01D27"/>
    <w:rsid w:val="00B02015"/>
    <w:rsid w:val="00B0275A"/>
    <w:rsid w:val="00B02E56"/>
    <w:rsid w:val="00B03069"/>
    <w:rsid w:val="00B03535"/>
    <w:rsid w:val="00B03D62"/>
    <w:rsid w:val="00B040E2"/>
    <w:rsid w:val="00B04232"/>
    <w:rsid w:val="00B0430A"/>
    <w:rsid w:val="00B0440D"/>
    <w:rsid w:val="00B046C7"/>
    <w:rsid w:val="00B04C84"/>
    <w:rsid w:val="00B05025"/>
    <w:rsid w:val="00B053CD"/>
    <w:rsid w:val="00B053F3"/>
    <w:rsid w:val="00B05597"/>
    <w:rsid w:val="00B05660"/>
    <w:rsid w:val="00B0576D"/>
    <w:rsid w:val="00B0587E"/>
    <w:rsid w:val="00B05AB9"/>
    <w:rsid w:val="00B05ACC"/>
    <w:rsid w:val="00B06016"/>
    <w:rsid w:val="00B060B6"/>
    <w:rsid w:val="00B062BC"/>
    <w:rsid w:val="00B06912"/>
    <w:rsid w:val="00B06A8F"/>
    <w:rsid w:val="00B06C5A"/>
    <w:rsid w:val="00B06D8E"/>
    <w:rsid w:val="00B06E17"/>
    <w:rsid w:val="00B06F40"/>
    <w:rsid w:val="00B070DB"/>
    <w:rsid w:val="00B07110"/>
    <w:rsid w:val="00B0749F"/>
    <w:rsid w:val="00B0789E"/>
    <w:rsid w:val="00B07B2F"/>
    <w:rsid w:val="00B07B4D"/>
    <w:rsid w:val="00B07EB9"/>
    <w:rsid w:val="00B103CA"/>
    <w:rsid w:val="00B105E3"/>
    <w:rsid w:val="00B112C2"/>
    <w:rsid w:val="00B113B7"/>
    <w:rsid w:val="00B1168C"/>
    <w:rsid w:val="00B11842"/>
    <w:rsid w:val="00B11903"/>
    <w:rsid w:val="00B11A91"/>
    <w:rsid w:val="00B11C21"/>
    <w:rsid w:val="00B12CAE"/>
    <w:rsid w:val="00B13155"/>
    <w:rsid w:val="00B136C8"/>
    <w:rsid w:val="00B13977"/>
    <w:rsid w:val="00B13FDA"/>
    <w:rsid w:val="00B1430A"/>
    <w:rsid w:val="00B145B0"/>
    <w:rsid w:val="00B14A68"/>
    <w:rsid w:val="00B15003"/>
    <w:rsid w:val="00B157F6"/>
    <w:rsid w:val="00B161AC"/>
    <w:rsid w:val="00B16DBE"/>
    <w:rsid w:val="00B16EC8"/>
    <w:rsid w:val="00B17242"/>
    <w:rsid w:val="00B172E3"/>
    <w:rsid w:val="00B17445"/>
    <w:rsid w:val="00B17678"/>
    <w:rsid w:val="00B20010"/>
    <w:rsid w:val="00B200A1"/>
    <w:rsid w:val="00B2055F"/>
    <w:rsid w:val="00B20615"/>
    <w:rsid w:val="00B20DAD"/>
    <w:rsid w:val="00B21667"/>
    <w:rsid w:val="00B2179A"/>
    <w:rsid w:val="00B21947"/>
    <w:rsid w:val="00B21C46"/>
    <w:rsid w:val="00B21DA0"/>
    <w:rsid w:val="00B22040"/>
    <w:rsid w:val="00B222CC"/>
    <w:rsid w:val="00B2237D"/>
    <w:rsid w:val="00B22742"/>
    <w:rsid w:val="00B22E31"/>
    <w:rsid w:val="00B22E75"/>
    <w:rsid w:val="00B231B0"/>
    <w:rsid w:val="00B237FC"/>
    <w:rsid w:val="00B238D8"/>
    <w:rsid w:val="00B2392C"/>
    <w:rsid w:val="00B23977"/>
    <w:rsid w:val="00B23FEE"/>
    <w:rsid w:val="00B245CE"/>
    <w:rsid w:val="00B24872"/>
    <w:rsid w:val="00B25612"/>
    <w:rsid w:val="00B25ABD"/>
    <w:rsid w:val="00B25C93"/>
    <w:rsid w:val="00B25EBB"/>
    <w:rsid w:val="00B26269"/>
    <w:rsid w:val="00B26691"/>
    <w:rsid w:val="00B26994"/>
    <w:rsid w:val="00B26CC0"/>
    <w:rsid w:val="00B26ECF"/>
    <w:rsid w:val="00B2730B"/>
    <w:rsid w:val="00B273EE"/>
    <w:rsid w:val="00B2752C"/>
    <w:rsid w:val="00B27666"/>
    <w:rsid w:val="00B27F50"/>
    <w:rsid w:val="00B30186"/>
    <w:rsid w:val="00B30641"/>
    <w:rsid w:val="00B309F2"/>
    <w:rsid w:val="00B30C6E"/>
    <w:rsid w:val="00B311FD"/>
    <w:rsid w:val="00B314EE"/>
    <w:rsid w:val="00B3166C"/>
    <w:rsid w:val="00B31778"/>
    <w:rsid w:val="00B318FE"/>
    <w:rsid w:val="00B31F49"/>
    <w:rsid w:val="00B32A74"/>
    <w:rsid w:val="00B33518"/>
    <w:rsid w:val="00B337BF"/>
    <w:rsid w:val="00B33B4C"/>
    <w:rsid w:val="00B33DD7"/>
    <w:rsid w:val="00B3407D"/>
    <w:rsid w:val="00B34C3F"/>
    <w:rsid w:val="00B35189"/>
    <w:rsid w:val="00B3553B"/>
    <w:rsid w:val="00B3597A"/>
    <w:rsid w:val="00B35E24"/>
    <w:rsid w:val="00B35ED6"/>
    <w:rsid w:val="00B36044"/>
    <w:rsid w:val="00B36174"/>
    <w:rsid w:val="00B369C8"/>
    <w:rsid w:val="00B36C17"/>
    <w:rsid w:val="00B36C58"/>
    <w:rsid w:val="00B36DDC"/>
    <w:rsid w:val="00B371F1"/>
    <w:rsid w:val="00B37A28"/>
    <w:rsid w:val="00B37E97"/>
    <w:rsid w:val="00B37FFA"/>
    <w:rsid w:val="00B40DF9"/>
    <w:rsid w:val="00B40F90"/>
    <w:rsid w:val="00B41440"/>
    <w:rsid w:val="00B4149D"/>
    <w:rsid w:val="00B41DB6"/>
    <w:rsid w:val="00B41FC8"/>
    <w:rsid w:val="00B42449"/>
    <w:rsid w:val="00B42777"/>
    <w:rsid w:val="00B42914"/>
    <w:rsid w:val="00B42F9F"/>
    <w:rsid w:val="00B430BA"/>
    <w:rsid w:val="00B436CD"/>
    <w:rsid w:val="00B438A6"/>
    <w:rsid w:val="00B439ED"/>
    <w:rsid w:val="00B44479"/>
    <w:rsid w:val="00B4453F"/>
    <w:rsid w:val="00B44667"/>
    <w:rsid w:val="00B44D25"/>
    <w:rsid w:val="00B45181"/>
    <w:rsid w:val="00B454A4"/>
    <w:rsid w:val="00B454CB"/>
    <w:rsid w:val="00B45CC5"/>
    <w:rsid w:val="00B45E61"/>
    <w:rsid w:val="00B46606"/>
    <w:rsid w:val="00B46924"/>
    <w:rsid w:val="00B46BC8"/>
    <w:rsid w:val="00B46CF3"/>
    <w:rsid w:val="00B46D36"/>
    <w:rsid w:val="00B46E45"/>
    <w:rsid w:val="00B47338"/>
    <w:rsid w:val="00B47536"/>
    <w:rsid w:val="00B4769F"/>
    <w:rsid w:val="00B47748"/>
    <w:rsid w:val="00B478C0"/>
    <w:rsid w:val="00B5054A"/>
    <w:rsid w:val="00B5082B"/>
    <w:rsid w:val="00B508AC"/>
    <w:rsid w:val="00B5159A"/>
    <w:rsid w:val="00B51862"/>
    <w:rsid w:val="00B51A53"/>
    <w:rsid w:val="00B51C6C"/>
    <w:rsid w:val="00B51E60"/>
    <w:rsid w:val="00B52019"/>
    <w:rsid w:val="00B521A0"/>
    <w:rsid w:val="00B5237C"/>
    <w:rsid w:val="00B52478"/>
    <w:rsid w:val="00B527E8"/>
    <w:rsid w:val="00B52F91"/>
    <w:rsid w:val="00B531AD"/>
    <w:rsid w:val="00B531D4"/>
    <w:rsid w:val="00B536D5"/>
    <w:rsid w:val="00B53C60"/>
    <w:rsid w:val="00B53C95"/>
    <w:rsid w:val="00B53D5E"/>
    <w:rsid w:val="00B54067"/>
    <w:rsid w:val="00B54748"/>
    <w:rsid w:val="00B5487F"/>
    <w:rsid w:val="00B548CD"/>
    <w:rsid w:val="00B54ACF"/>
    <w:rsid w:val="00B54E7A"/>
    <w:rsid w:val="00B551BD"/>
    <w:rsid w:val="00B55483"/>
    <w:rsid w:val="00B55BE7"/>
    <w:rsid w:val="00B563D4"/>
    <w:rsid w:val="00B56636"/>
    <w:rsid w:val="00B56866"/>
    <w:rsid w:val="00B569C2"/>
    <w:rsid w:val="00B56C66"/>
    <w:rsid w:val="00B60D09"/>
    <w:rsid w:val="00B6148B"/>
    <w:rsid w:val="00B616E9"/>
    <w:rsid w:val="00B61915"/>
    <w:rsid w:val="00B61C56"/>
    <w:rsid w:val="00B61C66"/>
    <w:rsid w:val="00B6205E"/>
    <w:rsid w:val="00B62D23"/>
    <w:rsid w:val="00B63219"/>
    <w:rsid w:val="00B63312"/>
    <w:rsid w:val="00B634DC"/>
    <w:rsid w:val="00B63509"/>
    <w:rsid w:val="00B63777"/>
    <w:rsid w:val="00B63A90"/>
    <w:rsid w:val="00B63BB3"/>
    <w:rsid w:val="00B63BD8"/>
    <w:rsid w:val="00B63C52"/>
    <w:rsid w:val="00B63D9F"/>
    <w:rsid w:val="00B647CC"/>
    <w:rsid w:val="00B658AE"/>
    <w:rsid w:val="00B65ACB"/>
    <w:rsid w:val="00B66A64"/>
    <w:rsid w:val="00B66AA4"/>
    <w:rsid w:val="00B66CE2"/>
    <w:rsid w:val="00B670BC"/>
    <w:rsid w:val="00B6761A"/>
    <w:rsid w:val="00B6764E"/>
    <w:rsid w:val="00B67AFC"/>
    <w:rsid w:val="00B67E65"/>
    <w:rsid w:val="00B7042E"/>
    <w:rsid w:val="00B7209C"/>
    <w:rsid w:val="00B723C9"/>
    <w:rsid w:val="00B72D10"/>
    <w:rsid w:val="00B730FD"/>
    <w:rsid w:val="00B73A5E"/>
    <w:rsid w:val="00B73AB5"/>
    <w:rsid w:val="00B73C26"/>
    <w:rsid w:val="00B740D2"/>
    <w:rsid w:val="00B7500B"/>
    <w:rsid w:val="00B75332"/>
    <w:rsid w:val="00B756F9"/>
    <w:rsid w:val="00B75772"/>
    <w:rsid w:val="00B75DBC"/>
    <w:rsid w:val="00B7617B"/>
    <w:rsid w:val="00B76631"/>
    <w:rsid w:val="00B768E6"/>
    <w:rsid w:val="00B76AD9"/>
    <w:rsid w:val="00B76FD5"/>
    <w:rsid w:val="00B76FF0"/>
    <w:rsid w:val="00B76FFE"/>
    <w:rsid w:val="00B774C6"/>
    <w:rsid w:val="00B80273"/>
    <w:rsid w:val="00B8081C"/>
    <w:rsid w:val="00B80B84"/>
    <w:rsid w:val="00B81450"/>
    <w:rsid w:val="00B81827"/>
    <w:rsid w:val="00B8188F"/>
    <w:rsid w:val="00B81B4D"/>
    <w:rsid w:val="00B82180"/>
    <w:rsid w:val="00B822AA"/>
    <w:rsid w:val="00B82434"/>
    <w:rsid w:val="00B82773"/>
    <w:rsid w:val="00B828EE"/>
    <w:rsid w:val="00B82A5D"/>
    <w:rsid w:val="00B82C35"/>
    <w:rsid w:val="00B82C54"/>
    <w:rsid w:val="00B832A4"/>
    <w:rsid w:val="00B8338C"/>
    <w:rsid w:val="00B8353D"/>
    <w:rsid w:val="00B83667"/>
    <w:rsid w:val="00B83968"/>
    <w:rsid w:val="00B83D2E"/>
    <w:rsid w:val="00B8474F"/>
    <w:rsid w:val="00B84CD2"/>
    <w:rsid w:val="00B85481"/>
    <w:rsid w:val="00B857A6"/>
    <w:rsid w:val="00B86C32"/>
    <w:rsid w:val="00B86CB5"/>
    <w:rsid w:val="00B875E8"/>
    <w:rsid w:val="00B87A7C"/>
    <w:rsid w:val="00B87D77"/>
    <w:rsid w:val="00B90628"/>
    <w:rsid w:val="00B908E4"/>
    <w:rsid w:val="00B90E83"/>
    <w:rsid w:val="00B90F81"/>
    <w:rsid w:val="00B90FA7"/>
    <w:rsid w:val="00B91403"/>
    <w:rsid w:val="00B915C8"/>
    <w:rsid w:val="00B916E9"/>
    <w:rsid w:val="00B91EBC"/>
    <w:rsid w:val="00B9258B"/>
    <w:rsid w:val="00B92638"/>
    <w:rsid w:val="00B926F5"/>
    <w:rsid w:val="00B9273D"/>
    <w:rsid w:val="00B92AA7"/>
    <w:rsid w:val="00B92DEE"/>
    <w:rsid w:val="00B92F23"/>
    <w:rsid w:val="00B92FB1"/>
    <w:rsid w:val="00B9307F"/>
    <w:rsid w:val="00B930C8"/>
    <w:rsid w:val="00B93588"/>
    <w:rsid w:val="00B938BF"/>
    <w:rsid w:val="00B939DA"/>
    <w:rsid w:val="00B93CA0"/>
    <w:rsid w:val="00B9419A"/>
    <w:rsid w:val="00B943C3"/>
    <w:rsid w:val="00B9441B"/>
    <w:rsid w:val="00B946B3"/>
    <w:rsid w:val="00B9489E"/>
    <w:rsid w:val="00B94C8E"/>
    <w:rsid w:val="00B94F22"/>
    <w:rsid w:val="00B950EA"/>
    <w:rsid w:val="00B95467"/>
    <w:rsid w:val="00B957B0"/>
    <w:rsid w:val="00B9590D"/>
    <w:rsid w:val="00B95A26"/>
    <w:rsid w:val="00B95BA3"/>
    <w:rsid w:val="00B9660E"/>
    <w:rsid w:val="00B96AB4"/>
    <w:rsid w:val="00B96B17"/>
    <w:rsid w:val="00B96E13"/>
    <w:rsid w:val="00B979F3"/>
    <w:rsid w:val="00BA02CD"/>
    <w:rsid w:val="00BA0B76"/>
    <w:rsid w:val="00BA0E54"/>
    <w:rsid w:val="00BA0F77"/>
    <w:rsid w:val="00BA0FAA"/>
    <w:rsid w:val="00BA12CD"/>
    <w:rsid w:val="00BA1411"/>
    <w:rsid w:val="00BA145C"/>
    <w:rsid w:val="00BA151D"/>
    <w:rsid w:val="00BA1900"/>
    <w:rsid w:val="00BA1B85"/>
    <w:rsid w:val="00BA2946"/>
    <w:rsid w:val="00BA307C"/>
    <w:rsid w:val="00BA356F"/>
    <w:rsid w:val="00BA3A28"/>
    <w:rsid w:val="00BA3C32"/>
    <w:rsid w:val="00BA3D6B"/>
    <w:rsid w:val="00BA3DBD"/>
    <w:rsid w:val="00BA4051"/>
    <w:rsid w:val="00BA4CCB"/>
    <w:rsid w:val="00BA4D26"/>
    <w:rsid w:val="00BA501E"/>
    <w:rsid w:val="00BA5410"/>
    <w:rsid w:val="00BA5441"/>
    <w:rsid w:val="00BA5497"/>
    <w:rsid w:val="00BA5796"/>
    <w:rsid w:val="00BA59ED"/>
    <w:rsid w:val="00BA5CB3"/>
    <w:rsid w:val="00BA5D49"/>
    <w:rsid w:val="00BA5D5D"/>
    <w:rsid w:val="00BA6095"/>
    <w:rsid w:val="00BA6383"/>
    <w:rsid w:val="00BA6453"/>
    <w:rsid w:val="00BA6997"/>
    <w:rsid w:val="00BA6BC0"/>
    <w:rsid w:val="00BA6E8F"/>
    <w:rsid w:val="00BA6F63"/>
    <w:rsid w:val="00BA71A6"/>
    <w:rsid w:val="00BA7411"/>
    <w:rsid w:val="00BB000F"/>
    <w:rsid w:val="00BB0103"/>
    <w:rsid w:val="00BB083A"/>
    <w:rsid w:val="00BB0AC3"/>
    <w:rsid w:val="00BB0AD7"/>
    <w:rsid w:val="00BB104D"/>
    <w:rsid w:val="00BB1326"/>
    <w:rsid w:val="00BB193A"/>
    <w:rsid w:val="00BB1B6D"/>
    <w:rsid w:val="00BB2108"/>
    <w:rsid w:val="00BB2210"/>
    <w:rsid w:val="00BB2725"/>
    <w:rsid w:val="00BB2A88"/>
    <w:rsid w:val="00BB2CEA"/>
    <w:rsid w:val="00BB2FA3"/>
    <w:rsid w:val="00BB3A97"/>
    <w:rsid w:val="00BB3B35"/>
    <w:rsid w:val="00BB3FA0"/>
    <w:rsid w:val="00BB464F"/>
    <w:rsid w:val="00BB476F"/>
    <w:rsid w:val="00BB4D33"/>
    <w:rsid w:val="00BB50CA"/>
    <w:rsid w:val="00BB52DF"/>
    <w:rsid w:val="00BB5318"/>
    <w:rsid w:val="00BB53D8"/>
    <w:rsid w:val="00BB596E"/>
    <w:rsid w:val="00BB64A6"/>
    <w:rsid w:val="00BB659A"/>
    <w:rsid w:val="00BB6A22"/>
    <w:rsid w:val="00BB6EA9"/>
    <w:rsid w:val="00BB70E3"/>
    <w:rsid w:val="00BB71B6"/>
    <w:rsid w:val="00BB7B12"/>
    <w:rsid w:val="00BB7B2B"/>
    <w:rsid w:val="00BC01C7"/>
    <w:rsid w:val="00BC03AA"/>
    <w:rsid w:val="00BC0463"/>
    <w:rsid w:val="00BC064A"/>
    <w:rsid w:val="00BC0AD3"/>
    <w:rsid w:val="00BC0CDC"/>
    <w:rsid w:val="00BC0E99"/>
    <w:rsid w:val="00BC1468"/>
    <w:rsid w:val="00BC1556"/>
    <w:rsid w:val="00BC1762"/>
    <w:rsid w:val="00BC1783"/>
    <w:rsid w:val="00BC18F5"/>
    <w:rsid w:val="00BC1BC5"/>
    <w:rsid w:val="00BC1C7D"/>
    <w:rsid w:val="00BC2200"/>
    <w:rsid w:val="00BC2325"/>
    <w:rsid w:val="00BC250C"/>
    <w:rsid w:val="00BC29E4"/>
    <w:rsid w:val="00BC2A4B"/>
    <w:rsid w:val="00BC2B64"/>
    <w:rsid w:val="00BC2B72"/>
    <w:rsid w:val="00BC2E1A"/>
    <w:rsid w:val="00BC37D1"/>
    <w:rsid w:val="00BC3826"/>
    <w:rsid w:val="00BC3A8B"/>
    <w:rsid w:val="00BC3DE6"/>
    <w:rsid w:val="00BC4367"/>
    <w:rsid w:val="00BC50F2"/>
    <w:rsid w:val="00BC5407"/>
    <w:rsid w:val="00BC56F8"/>
    <w:rsid w:val="00BC583F"/>
    <w:rsid w:val="00BC5AE7"/>
    <w:rsid w:val="00BC5DDE"/>
    <w:rsid w:val="00BC5FEB"/>
    <w:rsid w:val="00BC619F"/>
    <w:rsid w:val="00BC64C0"/>
    <w:rsid w:val="00BC6D05"/>
    <w:rsid w:val="00BC6FB7"/>
    <w:rsid w:val="00BC70AE"/>
    <w:rsid w:val="00BC71BE"/>
    <w:rsid w:val="00BC7287"/>
    <w:rsid w:val="00BC760A"/>
    <w:rsid w:val="00BC77A2"/>
    <w:rsid w:val="00BD09DB"/>
    <w:rsid w:val="00BD1490"/>
    <w:rsid w:val="00BD191D"/>
    <w:rsid w:val="00BD205E"/>
    <w:rsid w:val="00BD32D7"/>
    <w:rsid w:val="00BD35A9"/>
    <w:rsid w:val="00BD36A7"/>
    <w:rsid w:val="00BD3C64"/>
    <w:rsid w:val="00BD43C5"/>
    <w:rsid w:val="00BD4D3F"/>
    <w:rsid w:val="00BD55EB"/>
    <w:rsid w:val="00BD5ED5"/>
    <w:rsid w:val="00BD608D"/>
    <w:rsid w:val="00BD61E1"/>
    <w:rsid w:val="00BD64B9"/>
    <w:rsid w:val="00BD65D1"/>
    <w:rsid w:val="00BD6800"/>
    <w:rsid w:val="00BD6968"/>
    <w:rsid w:val="00BD6C73"/>
    <w:rsid w:val="00BD741D"/>
    <w:rsid w:val="00BD7487"/>
    <w:rsid w:val="00BD79C1"/>
    <w:rsid w:val="00BD7B77"/>
    <w:rsid w:val="00BE0030"/>
    <w:rsid w:val="00BE012E"/>
    <w:rsid w:val="00BE017E"/>
    <w:rsid w:val="00BE0904"/>
    <w:rsid w:val="00BE0A02"/>
    <w:rsid w:val="00BE121A"/>
    <w:rsid w:val="00BE1E1A"/>
    <w:rsid w:val="00BE2757"/>
    <w:rsid w:val="00BE2AF1"/>
    <w:rsid w:val="00BE2CC5"/>
    <w:rsid w:val="00BE32FA"/>
    <w:rsid w:val="00BE353F"/>
    <w:rsid w:val="00BE388E"/>
    <w:rsid w:val="00BE389B"/>
    <w:rsid w:val="00BE4318"/>
    <w:rsid w:val="00BE4D15"/>
    <w:rsid w:val="00BE4D96"/>
    <w:rsid w:val="00BE4F7F"/>
    <w:rsid w:val="00BE4F8A"/>
    <w:rsid w:val="00BE5037"/>
    <w:rsid w:val="00BE5039"/>
    <w:rsid w:val="00BE5154"/>
    <w:rsid w:val="00BE5174"/>
    <w:rsid w:val="00BE5325"/>
    <w:rsid w:val="00BE5689"/>
    <w:rsid w:val="00BE571D"/>
    <w:rsid w:val="00BE5FEA"/>
    <w:rsid w:val="00BE60CA"/>
    <w:rsid w:val="00BE650C"/>
    <w:rsid w:val="00BE6728"/>
    <w:rsid w:val="00BE6A9A"/>
    <w:rsid w:val="00BE6C93"/>
    <w:rsid w:val="00BE6CA0"/>
    <w:rsid w:val="00BE6CEB"/>
    <w:rsid w:val="00BE6CF8"/>
    <w:rsid w:val="00BE705D"/>
    <w:rsid w:val="00BE7546"/>
    <w:rsid w:val="00BE7645"/>
    <w:rsid w:val="00BE7956"/>
    <w:rsid w:val="00BF01D4"/>
    <w:rsid w:val="00BF057F"/>
    <w:rsid w:val="00BF05AC"/>
    <w:rsid w:val="00BF06ED"/>
    <w:rsid w:val="00BF0711"/>
    <w:rsid w:val="00BF0B2A"/>
    <w:rsid w:val="00BF0BE3"/>
    <w:rsid w:val="00BF0D7F"/>
    <w:rsid w:val="00BF0DAF"/>
    <w:rsid w:val="00BF0E19"/>
    <w:rsid w:val="00BF12CF"/>
    <w:rsid w:val="00BF136C"/>
    <w:rsid w:val="00BF1514"/>
    <w:rsid w:val="00BF1C29"/>
    <w:rsid w:val="00BF2068"/>
    <w:rsid w:val="00BF2177"/>
    <w:rsid w:val="00BF2181"/>
    <w:rsid w:val="00BF24FD"/>
    <w:rsid w:val="00BF2A1D"/>
    <w:rsid w:val="00BF2C6A"/>
    <w:rsid w:val="00BF2D06"/>
    <w:rsid w:val="00BF331B"/>
    <w:rsid w:val="00BF362F"/>
    <w:rsid w:val="00BF3957"/>
    <w:rsid w:val="00BF51EC"/>
    <w:rsid w:val="00BF53CA"/>
    <w:rsid w:val="00BF5577"/>
    <w:rsid w:val="00BF5DDA"/>
    <w:rsid w:val="00BF60EE"/>
    <w:rsid w:val="00BF65FD"/>
    <w:rsid w:val="00BF6749"/>
    <w:rsid w:val="00BF69FB"/>
    <w:rsid w:val="00BF6C17"/>
    <w:rsid w:val="00BF71A0"/>
    <w:rsid w:val="00BF76D2"/>
    <w:rsid w:val="00BF7865"/>
    <w:rsid w:val="00BF7D71"/>
    <w:rsid w:val="00BF7FBB"/>
    <w:rsid w:val="00C00A81"/>
    <w:rsid w:val="00C00ED7"/>
    <w:rsid w:val="00C012A6"/>
    <w:rsid w:val="00C0164F"/>
    <w:rsid w:val="00C01669"/>
    <w:rsid w:val="00C01F4F"/>
    <w:rsid w:val="00C02247"/>
    <w:rsid w:val="00C02958"/>
    <w:rsid w:val="00C02A66"/>
    <w:rsid w:val="00C02AB5"/>
    <w:rsid w:val="00C033D8"/>
    <w:rsid w:val="00C033EC"/>
    <w:rsid w:val="00C038B4"/>
    <w:rsid w:val="00C03E7A"/>
    <w:rsid w:val="00C03ECA"/>
    <w:rsid w:val="00C04335"/>
    <w:rsid w:val="00C043B4"/>
    <w:rsid w:val="00C0469D"/>
    <w:rsid w:val="00C048E1"/>
    <w:rsid w:val="00C04D97"/>
    <w:rsid w:val="00C0522E"/>
    <w:rsid w:val="00C052C2"/>
    <w:rsid w:val="00C0539C"/>
    <w:rsid w:val="00C05817"/>
    <w:rsid w:val="00C05C09"/>
    <w:rsid w:val="00C05C9D"/>
    <w:rsid w:val="00C05FD9"/>
    <w:rsid w:val="00C06019"/>
    <w:rsid w:val="00C064B5"/>
    <w:rsid w:val="00C066A2"/>
    <w:rsid w:val="00C067A3"/>
    <w:rsid w:val="00C06827"/>
    <w:rsid w:val="00C06C33"/>
    <w:rsid w:val="00C06EAC"/>
    <w:rsid w:val="00C06FDE"/>
    <w:rsid w:val="00C070E0"/>
    <w:rsid w:val="00C07803"/>
    <w:rsid w:val="00C07921"/>
    <w:rsid w:val="00C0794E"/>
    <w:rsid w:val="00C079F1"/>
    <w:rsid w:val="00C07C7B"/>
    <w:rsid w:val="00C1052D"/>
    <w:rsid w:val="00C10623"/>
    <w:rsid w:val="00C10EDD"/>
    <w:rsid w:val="00C10FB8"/>
    <w:rsid w:val="00C11206"/>
    <w:rsid w:val="00C11503"/>
    <w:rsid w:val="00C11917"/>
    <w:rsid w:val="00C11C41"/>
    <w:rsid w:val="00C11C97"/>
    <w:rsid w:val="00C12149"/>
    <w:rsid w:val="00C1254B"/>
    <w:rsid w:val="00C1289E"/>
    <w:rsid w:val="00C12CB3"/>
    <w:rsid w:val="00C1310F"/>
    <w:rsid w:val="00C13449"/>
    <w:rsid w:val="00C134AC"/>
    <w:rsid w:val="00C13A44"/>
    <w:rsid w:val="00C13B15"/>
    <w:rsid w:val="00C13CC9"/>
    <w:rsid w:val="00C13E7B"/>
    <w:rsid w:val="00C14233"/>
    <w:rsid w:val="00C14980"/>
    <w:rsid w:val="00C14C38"/>
    <w:rsid w:val="00C14C3D"/>
    <w:rsid w:val="00C14F90"/>
    <w:rsid w:val="00C14FC4"/>
    <w:rsid w:val="00C1524F"/>
    <w:rsid w:val="00C15595"/>
    <w:rsid w:val="00C15649"/>
    <w:rsid w:val="00C159D5"/>
    <w:rsid w:val="00C15B7D"/>
    <w:rsid w:val="00C15B9E"/>
    <w:rsid w:val="00C15F29"/>
    <w:rsid w:val="00C16271"/>
    <w:rsid w:val="00C1641D"/>
    <w:rsid w:val="00C166EE"/>
    <w:rsid w:val="00C16D86"/>
    <w:rsid w:val="00C16F9F"/>
    <w:rsid w:val="00C170A9"/>
    <w:rsid w:val="00C17A55"/>
    <w:rsid w:val="00C17B2E"/>
    <w:rsid w:val="00C17E57"/>
    <w:rsid w:val="00C17FD8"/>
    <w:rsid w:val="00C2037B"/>
    <w:rsid w:val="00C203A4"/>
    <w:rsid w:val="00C204DF"/>
    <w:rsid w:val="00C20EB1"/>
    <w:rsid w:val="00C2110F"/>
    <w:rsid w:val="00C21358"/>
    <w:rsid w:val="00C218EB"/>
    <w:rsid w:val="00C21949"/>
    <w:rsid w:val="00C21BD3"/>
    <w:rsid w:val="00C21CE7"/>
    <w:rsid w:val="00C2267C"/>
    <w:rsid w:val="00C231BF"/>
    <w:rsid w:val="00C23BE2"/>
    <w:rsid w:val="00C23E4E"/>
    <w:rsid w:val="00C24845"/>
    <w:rsid w:val="00C249BC"/>
    <w:rsid w:val="00C24AFB"/>
    <w:rsid w:val="00C24DA0"/>
    <w:rsid w:val="00C2510B"/>
    <w:rsid w:val="00C25170"/>
    <w:rsid w:val="00C256A3"/>
    <w:rsid w:val="00C256EF"/>
    <w:rsid w:val="00C25ADB"/>
    <w:rsid w:val="00C25DFF"/>
    <w:rsid w:val="00C265DD"/>
    <w:rsid w:val="00C26A66"/>
    <w:rsid w:val="00C26D2D"/>
    <w:rsid w:val="00C26D86"/>
    <w:rsid w:val="00C27341"/>
    <w:rsid w:val="00C27572"/>
    <w:rsid w:val="00C27C1B"/>
    <w:rsid w:val="00C307B6"/>
    <w:rsid w:val="00C3099B"/>
    <w:rsid w:val="00C30DAB"/>
    <w:rsid w:val="00C30DD8"/>
    <w:rsid w:val="00C30F5B"/>
    <w:rsid w:val="00C3122E"/>
    <w:rsid w:val="00C31343"/>
    <w:rsid w:val="00C31541"/>
    <w:rsid w:val="00C31962"/>
    <w:rsid w:val="00C3198D"/>
    <w:rsid w:val="00C31B5F"/>
    <w:rsid w:val="00C32030"/>
    <w:rsid w:val="00C3204C"/>
    <w:rsid w:val="00C32914"/>
    <w:rsid w:val="00C32A55"/>
    <w:rsid w:val="00C32C58"/>
    <w:rsid w:val="00C32D7F"/>
    <w:rsid w:val="00C330E3"/>
    <w:rsid w:val="00C33420"/>
    <w:rsid w:val="00C33879"/>
    <w:rsid w:val="00C33E20"/>
    <w:rsid w:val="00C3412C"/>
    <w:rsid w:val="00C3418F"/>
    <w:rsid w:val="00C341AD"/>
    <w:rsid w:val="00C343C6"/>
    <w:rsid w:val="00C34CC3"/>
    <w:rsid w:val="00C35054"/>
    <w:rsid w:val="00C351E5"/>
    <w:rsid w:val="00C35A1C"/>
    <w:rsid w:val="00C35F13"/>
    <w:rsid w:val="00C3616B"/>
    <w:rsid w:val="00C36DE4"/>
    <w:rsid w:val="00C36DF0"/>
    <w:rsid w:val="00C36EBA"/>
    <w:rsid w:val="00C36F63"/>
    <w:rsid w:val="00C371E3"/>
    <w:rsid w:val="00C3723E"/>
    <w:rsid w:val="00C378C1"/>
    <w:rsid w:val="00C37A5B"/>
    <w:rsid w:val="00C4013B"/>
    <w:rsid w:val="00C402B7"/>
    <w:rsid w:val="00C406CE"/>
    <w:rsid w:val="00C40B13"/>
    <w:rsid w:val="00C40CF0"/>
    <w:rsid w:val="00C40E44"/>
    <w:rsid w:val="00C40EBC"/>
    <w:rsid w:val="00C40FB7"/>
    <w:rsid w:val="00C411DD"/>
    <w:rsid w:val="00C412C3"/>
    <w:rsid w:val="00C4154F"/>
    <w:rsid w:val="00C41553"/>
    <w:rsid w:val="00C41AA2"/>
    <w:rsid w:val="00C41F0B"/>
    <w:rsid w:val="00C420F8"/>
    <w:rsid w:val="00C4260B"/>
    <w:rsid w:val="00C43450"/>
    <w:rsid w:val="00C437D8"/>
    <w:rsid w:val="00C44A11"/>
    <w:rsid w:val="00C44C2E"/>
    <w:rsid w:val="00C44D8A"/>
    <w:rsid w:val="00C4503D"/>
    <w:rsid w:val="00C4513E"/>
    <w:rsid w:val="00C451EA"/>
    <w:rsid w:val="00C45545"/>
    <w:rsid w:val="00C458FA"/>
    <w:rsid w:val="00C45A31"/>
    <w:rsid w:val="00C45A78"/>
    <w:rsid w:val="00C45B1F"/>
    <w:rsid w:val="00C45C52"/>
    <w:rsid w:val="00C45E10"/>
    <w:rsid w:val="00C45FD2"/>
    <w:rsid w:val="00C4620B"/>
    <w:rsid w:val="00C4629F"/>
    <w:rsid w:val="00C4634E"/>
    <w:rsid w:val="00C46553"/>
    <w:rsid w:val="00C46A18"/>
    <w:rsid w:val="00C46C1A"/>
    <w:rsid w:val="00C47609"/>
    <w:rsid w:val="00C47840"/>
    <w:rsid w:val="00C5021B"/>
    <w:rsid w:val="00C5027F"/>
    <w:rsid w:val="00C502EC"/>
    <w:rsid w:val="00C50412"/>
    <w:rsid w:val="00C5046E"/>
    <w:rsid w:val="00C504F3"/>
    <w:rsid w:val="00C50D9B"/>
    <w:rsid w:val="00C50DC8"/>
    <w:rsid w:val="00C51133"/>
    <w:rsid w:val="00C512B6"/>
    <w:rsid w:val="00C51586"/>
    <w:rsid w:val="00C518CC"/>
    <w:rsid w:val="00C51A73"/>
    <w:rsid w:val="00C51BC6"/>
    <w:rsid w:val="00C51F18"/>
    <w:rsid w:val="00C51FD2"/>
    <w:rsid w:val="00C5224D"/>
    <w:rsid w:val="00C5245C"/>
    <w:rsid w:val="00C52927"/>
    <w:rsid w:val="00C52C06"/>
    <w:rsid w:val="00C52DF1"/>
    <w:rsid w:val="00C52E00"/>
    <w:rsid w:val="00C52F2C"/>
    <w:rsid w:val="00C52FD5"/>
    <w:rsid w:val="00C533D5"/>
    <w:rsid w:val="00C533D9"/>
    <w:rsid w:val="00C53904"/>
    <w:rsid w:val="00C54115"/>
    <w:rsid w:val="00C5466B"/>
    <w:rsid w:val="00C54841"/>
    <w:rsid w:val="00C551DD"/>
    <w:rsid w:val="00C5579F"/>
    <w:rsid w:val="00C55D82"/>
    <w:rsid w:val="00C561E2"/>
    <w:rsid w:val="00C5639A"/>
    <w:rsid w:val="00C56656"/>
    <w:rsid w:val="00C56793"/>
    <w:rsid w:val="00C56D80"/>
    <w:rsid w:val="00C56F75"/>
    <w:rsid w:val="00C56FD1"/>
    <w:rsid w:val="00C5707C"/>
    <w:rsid w:val="00C572E8"/>
    <w:rsid w:val="00C57736"/>
    <w:rsid w:val="00C577ED"/>
    <w:rsid w:val="00C5782F"/>
    <w:rsid w:val="00C57ABB"/>
    <w:rsid w:val="00C57C0F"/>
    <w:rsid w:val="00C6008A"/>
    <w:rsid w:val="00C601D9"/>
    <w:rsid w:val="00C60378"/>
    <w:rsid w:val="00C60476"/>
    <w:rsid w:val="00C60CA0"/>
    <w:rsid w:val="00C60F0B"/>
    <w:rsid w:val="00C6159D"/>
    <w:rsid w:val="00C61912"/>
    <w:rsid w:val="00C61ACE"/>
    <w:rsid w:val="00C61D77"/>
    <w:rsid w:val="00C6211B"/>
    <w:rsid w:val="00C621A1"/>
    <w:rsid w:val="00C623DA"/>
    <w:rsid w:val="00C626C8"/>
    <w:rsid w:val="00C62958"/>
    <w:rsid w:val="00C62D90"/>
    <w:rsid w:val="00C62F0A"/>
    <w:rsid w:val="00C63446"/>
    <w:rsid w:val="00C6398C"/>
    <w:rsid w:val="00C63D5A"/>
    <w:rsid w:val="00C643A4"/>
    <w:rsid w:val="00C64988"/>
    <w:rsid w:val="00C64CFE"/>
    <w:rsid w:val="00C65881"/>
    <w:rsid w:val="00C661ED"/>
    <w:rsid w:val="00C663D9"/>
    <w:rsid w:val="00C670F9"/>
    <w:rsid w:val="00C67128"/>
    <w:rsid w:val="00C672A5"/>
    <w:rsid w:val="00C67447"/>
    <w:rsid w:val="00C67D93"/>
    <w:rsid w:val="00C7019A"/>
    <w:rsid w:val="00C7029E"/>
    <w:rsid w:val="00C70564"/>
    <w:rsid w:val="00C70C09"/>
    <w:rsid w:val="00C70EAD"/>
    <w:rsid w:val="00C711EB"/>
    <w:rsid w:val="00C714DC"/>
    <w:rsid w:val="00C715C8"/>
    <w:rsid w:val="00C718AB"/>
    <w:rsid w:val="00C71D14"/>
    <w:rsid w:val="00C71D69"/>
    <w:rsid w:val="00C71E37"/>
    <w:rsid w:val="00C722CB"/>
    <w:rsid w:val="00C725F3"/>
    <w:rsid w:val="00C72758"/>
    <w:rsid w:val="00C72D24"/>
    <w:rsid w:val="00C73199"/>
    <w:rsid w:val="00C73446"/>
    <w:rsid w:val="00C73479"/>
    <w:rsid w:val="00C74311"/>
    <w:rsid w:val="00C74509"/>
    <w:rsid w:val="00C7480F"/>
    <w:rsid w:val="00C74A1D"/>
    <w:rsid w:val="00C74A40"/>
    <w:rsid w:val="00C75053"/>
    <w:rsid w:val="00C75107"/>
    <w:rsid w:val="00C756BD"/>
    <w:rsid w:val="00C7581B"/>
    <w:rsid w:val="00C75EB5"/>
    <w:rsid w:val="00C764BC"/>
    <w:rsid w:val="00C768D6"/>
    <w:rsid w:val="00C77425"/>
    <w:rsid w:val="00C7747B"/>
    <w:rsid w:val="00C77E68"/>
    <w:rsid w:val="00C77F69"/>
    <w:rsid w:val="00C805F9"/>
    <w:rsid w:val="00C80651"/>
    <w:rsid w:val="00C80C5F"/>
    <w:rsid w:val="00C80D69"/>
    <w:rsid w:val="00C80E5D"/>
    <w:rsid w:val="00C80F38"/>
    <w:rsid w:val="00C8101D"/>
    <w:rsid w:val="00C813E1"/>
    <w:rsid w:val="00C81935"/>
    <w:rsid w:val="00C81BC2"/>
    <w:rsid w:val="00C81F6B"/>
    <w:rsid w:val="00C82446"/>
    <w:rsid w:val="00C824AD"/>
    <w:rsid w:val="00C82EEE"/>
    <w:rsid w:val="00C82F8C"/>
    <w:rsid w:val="00C83446"/>
    <w:rsid w:val="00C836C8"/>
    <w:rsid w:val="00C838FB"/>
    <w:rsid w:val="00C83963"/>
    <w:rsid w:val="00C84196"/>
    <w:rsid w:val="00C84827"/>
    <w:rsid w:val="00C84BB7"/>
    <w:rsid w:val="00C851D9"/>
    <w:rsid w:val="00C853B9"/>
    <w:rsid w:val="00C85482"/>
    <w:rsid w:val="00C855FF"/>
    <w:rsid w:val="00C86668"/>
    <w:rsid w:val="00C867E1"/>
    <w:rsid w:val="00C869D5"/>
    <w:rsid w:val="00C86B39"/>
    <w:rsid w:val="00C86B48"/>
    <w:rsid w:val="00C87231"/>
    <w:rsid w:val="00C8754E"/>
    <w:rsid w:val="00C8794F"/>
    <w:rsid w:val="00C8799E"/>
    <w:rsid w:val="00C879CB"/>
    <w:rsid w:val="00C87D3E"/>
    <w:rsid w:val="00C87DC9"/>
    <w:rsid w:val="00C9005C"/>
    <w:rsid w:val="00C901D2"/>
    <w:rsid w:val="00C90A2E"/>
    <w:rsid w:val="00C90E47"/>
    <w:rsid w:val="00C90FEF"/>
    <w:rsid w:val="00C915A5"/>
    <w:rsid w:val="00C91DE3"/>
    <w:rsid w:val="00C9222F"/>
    <w:rsid w:val="00C92466"/>
    <w:rsid w:val="00C92B17"/>
    <w:rsid w:val="00C92FEB"/>
    <w:rsid w:val="00C9344E"/>
    <w:rsid w:val="00C93923"/>
    <w:rsid w:val="00C940DA"/>
    <w:rsid w:val="00C9479F"/>
    <w:rsid w:val="00C94D77"/>
    <w:rsid w:val="00C94FF3"/>
    <w:rsid w:val="00C957EA"/>
    <w:rsid w:val="00C959EA"/>
    <w:rsid w:val="00C95E18"/>
    <w:rsid w:val="00C960DD"/>
    <w:rsid w:val="00C96598"/>
    <w:rsid w:val="00C9661F"/>
    <w:rsid w:val="00C967B5"/>
    <w:rsid w:val="00C96D55"/>
    <w:rsid w:val="00C97076"/>
    <w:rsid w:val="00C9750F"/>
    <w:rsid w:val="00C9768C"/>
    <w:rsid w:val="00C976F1"/>
    <w:rsid w:val="00C978A7"/>
    <w:rsid w:val="00C978FB"/>
    <w:rsid w:val="00C97E40"/>
    <w:rsid w:val="00C97FE9"/>
    <w:rsid w:val="00CA0385"/>
    <w:rsid w:val="00CA03C1"/>
    <w:rsid w:val="00CA08FE"/>
    <w:rsid w:val="00CA0F39"/>
    <w:rsid w:val="00CA106C"/>
    <w:rsid w:val="00CA11AF"/>
    <w:rsid w:val="00CA12EC"/>
    <w:rsid w:val="00CA22B3"/>
    <w:rsid w:val="00CA24C1"/>
    <w:rsid w:val="00CA27B6"/>
    <w:rsid w:val="00CA2954"/>
    <w:rsid w:val="00CA29F0"/>
    <w:rsid w:val="00CA2A70"/>
    <w:rsid w:val="00CA2B3F"/>
    <w:rsid w:val="00CA2B59"/>
    <w:rsid w:val="00CA2BCC"/>
    <w:rsid w:val="00CA2D1E"/>
    <w:rsid w:val="00CA3247"/>
    <w:rsid w:val="00CA393B"/>
    <w:rsid w:val="00CA39B8"/>
    <w:rsid w:val="00CA3A59"/>
    <w:rsid w:val="00CA3DBC"/>
    <w:rsid w:val="00CA3ED6"/>
    <w:rsid w:val="00CA474A"/>
    <w:rsid w:val="00CA4D78"/>
    <w:rsid w:val="00CA5024"/>
    <w:rsid w:val="00CA51D3"/>
    <w:rsid w:val="00CA54C6"/>
    <w:rsid w:val="00CA5757"/>
    <w:rsid w:val="00CA5F0E"/>
    <w:rsid w:val="00CA5FDC"/>
    <w:rsid w:val="00CA6119"/>
    <w:rsid w:val="00CA621F"/>
    <w:rsid w:val="00CA6228"/>
    <w:rsid w:val="00CA637E"/>
    <w:rsid w:val="00CA63D2"/>
    <w:rsid w:val="00CA68EC"/>
    <w:rsid w:val="00CA703E"/>
    <w:rsid w:val="00CA71D7"/>
    <w:rsid w:val="00CA7393"/>
    <w:rsid w:val="00CA7C7F"/>
    <w:rsid w:val="00CA7D5B"/>
    <w:rsid w:val="00CB006D"/>
    <w:rsid w:val="00CB00AB"/>
    <w:rsid w:val="00CB0547"/>
    <w:rsid w:val="00CB098E"/>
    <w:rsid w:val="00CB09F6"/>
    <w:rsid w:val="00CB0AA4"/>
    <w:rsid w:val="00CB0B9A"/>
    <w:rsid w:val="00CB0C04"/>
    <w:rsid w:val="00CB0EAA"/>
    <w:rsid w:val="00CB0F12"/>
    <w:rsid w:val="00CB147C"/>
    <w:rsid w:val="00CB1ACD"/>
    <w:rsid w:val="00CB1EAA"/>
    <w:rsid w:val="00CB2686"/>
    <w:rsid w:val="00CB2AE9"/>
    <w:rsid w:val="00CB370E"/>
    <w:rsid w:val="00CB4464"/>
    <w:rsid w:val="00CB4C20"/>
    <w:rsid w:val="00CB4C4A"/>
    <w:rsid w:val="00CB4EEE"/>
    <w:rsid w:val="00CB4F87"/>
    <w:rsid w:val="00CB4FED"/>
    <w:rsid w:val="00CB5083"/>
    <w:rsid w:val="00CB5795"/>
    <w:rsid w:val="00CB579F"/>
    <w:rsid w:val="00CB5954"/>
    <w:rsid w:val="00CB6B94"/>
    <w:rsid w:val="00CB6E05"/>
    <w:rsid w:val="00CB6E6F"/>
    <w:rsid w:val="00CB71F7"/>
    <w:rsid w:val="00CB7265"/>
    <w:rsid w:val="00CB7319"/>
    <w:rsid w:val="00CB7433"/>
    <w:rsid w:val="00CB7E86"/>
    <w:rsid w:val="00CB7ED6"/>
    <w:rsid w:val="00CC0D01"/>
    <w:rsid w:val="00CC0D91"/>
    <w:rsid w:val="00CC0E0C"/>
    <w:rsid w:val="00CC0F90"/>
    <w:rsid w:val="00CC12D2"/>
    <w:rsid w:val="00CC1473"/>
    <w:rsid w:val="00CC15F7"/>
    <w:rsid w:val="00CC1CB9"/>
    <w:rsid w:val="00CC1EF3"/>
    <w:rsid w:val="00CC1F6A"/>
    <w:rsid w:val="00CC2034"/>
    <w:rsid w:val="00CC2A7D"/>
    <w:rsid w:val="00CC2A98"/>
    <w:rsid w:val="00CC2B3C"/>
    <w:rsid w:val="00CC2F4F"/>
    <w:rsid w:val="00CC3380"/>
    <w:rsid w:val="00CC3BAC"/>
    <w:rsid w:val="00CC3C85"/>
    <w:rsid w:val="00CC3C9B"/>
    <w:rsid w:val="00CC3CD2"/>
    <w:rsid w:val="00CC3E3D"/>
    <w:rsid w:val="00CC45E4"/>
    <w:rsid w:val="00CC546E"/>
    <w:rsid w:val="00CC551E"/>
    <w:rsid w:val="00CC5552"/>
    <w:rsid w:val="00CC5559"/>
    <w:rsid w:val="00CC5678"/>
    <w:rsid w:val="00CC687A"/>
    <w:rsid w:val="00CC6AB6"/>
    <w:rsid w:val="00CC6EAC"/>
    <w:rsid w:val="00CC754E"/>
    <w:rsid w:val="00CC77D8"/>
    <w:rsid w:val="00CC7E1B"/>
    <w:rsid w:val="00CD052A"/>
    <w:rsid w:val="00CD0F08"/>
    <w:rsid w:val="00CD106F"/>
    <w:rsid w:val="00CD124F"/>
    <w:rsid w:val="00CD1B84"/>
    <w:rsid w:val="00CD1C38"/>
    <w:rsid w:val="00CD2540"/>
    <w:rsid w:val="00CD2645"/>
    <w:rsid w:val="00CD26BB"/>
    <w:rsid w:val="00CD2926"/>
    <w:rsid w:val="00CD2963"/>
    <w:rsid w:val="00CD2A48"/>
    <w:rsid w:val="00CD312E"/>
    <w:rsid w:val="00CD391F"/>
    <w:rsid w:val="00CD39E2"/>
    <w:rsid w:val="00CD3B22"/>
    <w:rsid w:val="00CD40F1"/>
    <w:rsid w:val="00CD4155"/>
    <w:rsid w:val="00CD41FB"/>
    <w:rsid w:val="00CD470C"/>
    <w:rsid w:val="00CD4FF8"/>
    <w:rsid w:val="00CD5388"/>
    <w:rsid w:val="00CD5574"/>
    <w:rsid w:val="00CD55F9"/>
    <w:rsid w:val="00CD5717"/>
    <w:rsid w:val="00CD5928"/>
    <w:rsid w:val="00CD5973"/>
    <w:rsid w:val="00CD5A46"/>
    <w:rsid w:val="00CD5CD9"/>
    <w:rsid w:val="00CD5E17"/>
    <w:rsid w:val="00CD6047"/>
    <w:rsid w:val="00CD6057"/>
    <w:rsid w:val="00CD60C9"/>
    <w:rsid w:val="00CD618A"/>
    <w:rsid w:val="00CD66E4"/>
    <w:rsid w:val="00CD6B6B"/>
    <w:rsid w:val="00CD6D02"/>
    <w:rsid w:val="00CD6F29"/>
    <w:rsid w:val="00CD7460"/>
    <w:rsid w:val="00CD758C"/>
    <w:rsid w:val="00CD76B6"/>
    <w:rsid w:val="00CD7921"/>
    <w:rsid w:val="00CD7E72"/>
    <w:rsid w:val="00CE0757"/>
    <w:rsid w:val="00CE093D"/>
    <w:rsid w:val="00CE0B27"/>
    <w:rsid w:val="00CE0BDB"/>
    <w:rsid w:val="00CE0EBA"/>
    <w:rsid w:val="00CE10C3"/>
    <w:rsid w:val="00CE14F1"/>
    <w:rsid w:val="00CE156F"/>
    <w:rsid w:val="00CE1922"/>
    <w:rsid w:val="00CE1DA6"/>
    <w:rsid w:val="00CE2051"/>
    <w:rsid w:val="00CE2198"/>
    <w:rsid w:val="00CE29A9"/>
    <w:rsid w:val="00CE2A6D"/>
    <w:rsid w:val="00CE3024"/>
    <w:rsid w:val="00CE3325"/>
    <w:rsid w:val="00CE3479"/>
    <w:rsid w:val="00CE3617"/>
    <w:rsid w:val="00CE36D6"/>
    <w:rsid w:val="00CE375F"/>
    <w:rsid w:val="00CE39A3"/>
    <w:rsid w:val="00CE3BCA"/>
    <w:rsid w:val="00CE3E1D"/>
    <w:rsid w:val="00CE3E30"/>
    <w:rsid w:val="00CE3ECB"/>
    <w:rsid w:val="00CE3FA4"/>
    <w:rsid w:val="00CE4A87"/>
    <w:rsid w:val="00CE4AE0"/>
    <w:rsid w:val="00CE4F17"/>
    <w:rsid w:val="00CE52CA"/>
    <w:rsid w:val="00CE546A"/>
    <w:rsid w:val="00CE5A4C"/>
    <w:rsid w:val="00CE5CAA"/>
    <w:rsid w:val="00CE6965"/>
    <w:rsid w:val="00CE70F4"/>
    <w:rsid w:val="00CF0042"/>
    <w:rsid w:val="00CF0218"/>
    <w:rsid w:val="00CF03B4"/>
    <w:rsid w:val="00CF09E0"/>
    <w:rsid w:val="00CF0AA3"/>
    <w:rsid w:val="00CF0ABE"/>
    <w:rsid w:val="00CF0D09"/>
    <w:rsid w:val="00CF0D4C"/>
    <w:rsid w:val="00CF0F26"/>
    <w:rsid w:val="00CF11BD"/>
    <w:rsid w:val="00CF18F4"/>
    <w:rsid w:val="00CF2452"/>
    <w:rsid w:val="00CF287F"/>
    <w:rsid w:val="00CF28B2"/>
    <w:rsid w:val="00CF2A21"/>
    <w:rsid w:val="00CF2B95"/>
    <w:rsid w:val="00CF341E"/>
    <w:rsid w:val="00CF35CC"/>
    <w:rsid w:val="00CF3987"/>
    <w:rsid w:val="00CF4037"/>
    <w:rsid w:val="00CF50C4"/>
    <w:rsid w:val="00CF532F"/>
    <w:rsid w:val="00CF54B5"/>
    <w:rsid w:val="00CF5576"/>
    <w:rsid w:val="00CF5607"/>
    <w:rsid w:val="00CF56B6"/>
    <w:rsid w:val="00CF5706"/>
    <w:rsid w:val="00CF58FA"/>
    <w:rsid w:val="00CF5C1D"/>
    <w:rsid w:val="00CF5C4F"/>
    <w:rsid w:val="00CF5CBA"/>
    <w:rsid w:val="00CF5DB6"/>
    <w:rsid w:val="00CF5E27"/>
    <w:rsid w:val="00CF5F5B"/>
    <w:rsid w:val="00CF62AD"/>
    <w:rsid w:val="00CF62F9"/>
    <w:rsid w:val="00CF6A89"/>
    <w:rsid w:val="00CF6C30"/>
    <w:rsid w:val="00CF6DB9"/>
    <w:rsid w:val="00CF71A1"/>
    <w:rsid w:val="00CF72ED"/>
    <w:rsid w:val="00CF79CC"/>
    <w:rsid w:val="00D00B3E"/>
    <w:rsid w:val="00D00EE9"/>
    <w:rsid w:val="00D01056"/>
    <w:rsid w:val="00D01216"/>
    <w:rsid w:val="00D0129E"/>
    <w:rsid w:val="00D013E4"/>
    <w:rsid w:val="00D01415"/>
    <w:rsid w:val="00D01922"/>
    <w:rsid w:val="00D01A24"/>
    <w:rsid w:val="00D01AA6"/>
    <w:rsid w:val="00D022E2"/>
    <w:rsid w:val="00D0235E"/>
    <w:rsid w:val="00D0238D"/>
    <w:rsid w:val="00D0256F"/>
    <w:rsid w:val="00D0262F"/>
    <w:rsid w:val="00D026A6"/>
    <w:rsid w:val="00D032A8"/>
    <w:rsid w:val="00D032EC"/>
    <w:rsid w:val="00D036ED"/>
    <w:rsid w:val="00D03785"/>
    <w:rsid w:val="00D03876"/>
    <w:rsid w:val="00D038C9"/>
    <w:rsid w:val="00D03F51"/>
    <w:rsid w:val="00D0407A"/>
    <w:rsid w:val="00D04C03"/>
    <w:rsid w:val="00D04E12"/>
    <w:rsid w:val="00D04FF4"/>
    <w:rsid w:val="00D050C3"/>
    <w:rsid w:val="00D05196"/>
    <w:rsid w:val="00D051D4"/>
    <w:rsid w:val="00D051D5"/>
    <w:rsid w:val="00D05328"/>
    <w:rsid w:val="00D0534A"/>
    <w:rsid w:val="00D0534E"/>
    <w:rsid w:val="00D053C3"/>
    <w:rsid w:val="00D05551"/>
    <w:rsid w:val="00D055A6"/>
    <w:rsid w:val="00D0588B"/>
    <w:rsid w:val="00D06186"/>
    <w:rsid w:val="00D065A3"/>
    <w:rsid w:val="00D06E2F"/>
    <w:rsid w:val="00D0703A"/>
    <w:rsid w:val="00D0713C"/>
    <w:rsid w:val="00D07323"/>
    <w:rsid w:val="00D07498"/>
    <w:rsid w:val="00D07516"/>
    <w:rsid w:val="00D07937"/>
    <w:rsid w:val="00D07B83"/>
    <w:rsid w:val="00D07EB0"/>
    <w:rsid w:val="00D102D0"/>
    <w:rsid w:val="00D11449"/>
    <w:rsid w:val="00D118DD"/>
    <w:rsid w:val="00D12146"/>
    <w:rsid w:val="00D127FA"/>
    <w:rsid w:val="00D133D8"/>
    <w:rsid w:val="00D1397D"/>
    <w:rsid w:val="00D13A18"/>
    <w:rsid w:val="00D13AD0"/>
    <w:rsid w:val="00D13F08"/>
    <w:rsid w:val="00D14210"/>
    <w:rsid w:val="00D14DD7"/>
    <w:rsid w:val="00D1540D"/>
    <w:rsid w:val="00D156FE"/>
    <w:rsid w:val="00D157F8"/>
    <w:rsid w:val="00D158AE"/>
    <w:rsid w:val="00D15939"/>
    <w:rsid w:val="00D15AFE"/>
    <w:rsid w:val="00D15D6A"/>
    <w:rsid w:val="00D16090"/>
    <w:rsid w:val="00D16294"/>
    <w:rsid w:val="00D165B7"/>
    <w:rsid w:val="00D16975"/>
    <w:rsid w:val="00D16CE8"/>
    <w:rsid w:val="00D16E8C"/>
    <w:rsid w:val="00D16F6A"/>
    <w:rsid w:val="00D172B8"/>
    <w:rsid w:val="00D17361"/>
    <w:rsid w:val="00D179DE"/>
    <w:rsid w:val="00D17A34"/>
    <w:rsid w:val="00D17B85"/>
    <w:rsid w:val="00D20306"/>
    <w:rsid w:val="00D204BA"/>
    <w:rsid w:val="00D20732"/>
    <w:rsid w:val="00D20948"/>
    <w:rsid w:val="00D209E6"/>
    <w:rsid w:val="00D20A29"/>
    <w:rsid w:val="00D20EB1"/>
    <w:rsid w:val="00D20F27"/>
    <w:rsid w:val="00D21771"/>
    <w:rsid w:val="00D21B71"/>
    <w:rsid w:val="00D21B9D"/>
    <w:rsid w:val="00D220B0"/>
    <w:rsid w:val="00D2216E"/>
    <w:rsid w:val="00D223E6"/>
    <w:rsid w:val="00D22B00"/>
    <w:rsid w:val="00D22C90"/>
    <w:rsid w:val="00D22EB1"/>
    <w:rsid w:val="00D23835"/>
    <w:rsid w:val="00D239FA"/>
    <w:rsid w:val="00D23C17"/>
    <w:rsid w:val="00D24525"/>
    <w:rsid w:val="00D245AB"/>
    <w:rsid w:val="00D24CC8"/>
    <w:rsid w:val="00D24EF1"/>
    <w:rsid w:val="00D24FE7"/>
    <w:rsid w:val="00D25043"/>
    <w:rsid w:val="00D25193"/>
    <w:rsid w:val="00D25271"/>
    <w:rsid w:val="00D2577B"/>
    <w:rsid w:val="00D257BC"/>
    <w:rsid w:val="00D258AE"/>
    <w:rsid w:val="00D25A01"/>
    <w:rsid w:val="00D25A20"/>
    <w:rsid w:val="00D25F2C"/>
    <w:rsid w:val="00D26174"/>
    <w:rsid w:val="00D263A4"/>
    <w:rsid w:val="00D2657B"/>
    <w:rsid w:val="00D268E6"/>
    <w:rsid w:val="00D26F13"/>
    <w:rsid w:val="00D26FD6"/>
    <w:rsid w:val="00D27232"/>
    <w:rsid w:val="00D275CB"/>
    <w:rsid w:val="00D27B12"/>
    <w:rsid w:val="00D27DAE"/>
    <w:rsid w:val="00D27F79"/>
    <w:rsid w:val="00D30330"/>
    <w:rsid w:val="00D305C4"/>
    <w:rsid w:val="00D30C80"/>
    <w:rsid w:val="00D310E5"/>
    <w:rsid w:val="00D31175"/>
    <w:rsid w:val="00D31345"/>
    <w:rsid w:val="00D314F2"/>
    <w:rsid w:val="00D31636"/>
    <w:rsid w:val="00D31D2F"/>
    <w:rsid w:val="00D3238E"/>
    <w:rsid w:val="00D32D15"/>
    <w:rsid w:val="00D32DE5"/>
    <w:rsid w:val="00D32DFB"/>
    <w:rsid w:val="00D33107"/>
    <w:rsid w:val="00D334E9"/>
    <w:rsid w:val="00D33829"/>
    <w:rsid w:val="00D339BB"/>
    <w:rsid w:val="00D34495"/>
    <w:rsid w:val="00D3478B"/>
    <w:rsid w:val="00D34B46"/>
    <w:rsid w:val="00D34D2E"/>
    <w:rsid w:val="00D34EC9"/>
    <w:rsid w:val="00D3508E"/>
    <w:rsid w:val="00D3515A"/>
    <w:rsid w:val="00D35B36"/>
    <w:rsid w:val="00D35C82"/>
    <w:rsid w:val="00D36343"/>
    <w:rsid w:val="00D36F9E"/>
    <w:rsid w:val="00D371AB"/>
    <w:rsid w:val="00D37B18"/>
    <w:rsid w:val="00D401E2"/>
    <w:rsid w:val="00D40481"/>
    <w:rsid w:val="00D406AA"/>
    <w:rsid w:val="00D40866"/>
    <w:rsid w:val="00D40C18"/>
    <w:rsid w:val="00D40D51"/>
    <w:rsid w:val="00D40FD5"/>
    <w:rsid w:val="00D41817"/>
    <w:rsid w:val="00D41A85"/>
    <w:rsid w:val="00D41EBE"/>
    <w:rsid w:val="00D421FC"/>
    <w:rsid w:val="00D42443"/>
    <w:rsid w:val="00D42D38"/>
    <w:rsid w:val="00D43206"/>
    <w:rsid w:val="00D435BB"/>
    <w:rsid w:val="00D43E8B"/>
    <w:rsid w:val="00D442D5"/>
    <w:rsid w:val="00D44956"/>
    <w:rsid w:val="00D44A37"/>
    <w:rsid w:val="00D44D4B"/>
    <w:rsid w:val="00D451AA"/>
    <w:rsid w:val="00D45243"/>
    <w:rsid w:val="00D4564B"/>
    <w:rsid w:val="00D45663"/>
    <w:rsid w:val="00D45948"/>
    <w:rsid w:val="00D45983"/>
    <w:rsid w:val="00D4599C"/>
    <w:rsid w:val="00D45EF5"/>
    <w:rsid w:val="00D46074"/>
    <w:rsid w:val="00D464CD"/>
    <w:rsid w:val="00D46670"/>
    <w:rsid w:val="00D46C29"/>
    <w:rsid w:val="00D46D08"/>
    <w:rsid w:val="00D477CC"/>
    <w:rsid w:val="00D47ABB"/>
    <w:rsid w:val="00D47C44"/>
    <w:rsid w:val="00D47C60"/>
    <w:rsid w:val="00D47C85"/>
    <w:rsid w:val="00D47C91"/>
    <w:rsid w:val="00D501C8"/>
    <w:rsid w:val="00D502C0"/>
    <w:rsid w:val="00D50612"/>
    <w:rsid w:val="00D5070A"/>
    <w:rsid w:val="00D508B5"/>
    <w:rsid w:val="00D50ABA"/>
    <w:rsid w:val="00D50DD0"/>
    <w:rsid w:val="00D50ECF"/>
    <w:rsid w:val="00D51272"/>
    <w:rsid w:val="00D5130D"/>
    <w:rsid w:val="00D514C0"/>
    <w:rsid w:val="00D5190F"/>
    <w:rsid w:val="00D51A67"/>
    <w:rsid w:val="00D51B0D"/>
    <w:rsid w:val="00D51B33"/>
    <w:rsid w:val="00D52062"/>
    <w:rsid w:val="00D520F3"/>
    <w:rsid w:val="00D522A0"/>
    <w:rsid w:val="00D52461"/>
    <w:rsid w:val="00D52734"/>
    <w:rsid w:val="00D5325C"/>
    <w:rsid w:val="00D5370E"/>
    <w:rsid w:val="00D5379F"/>
    <w:rsid w:val="00D53B9B"/>
    <w:rsid w:val="00D53CCD"/>
    <w:rsid w:val="00D53ED0"/>
    <w:rsid w:val="00D53F11"/>
    <w:rsid w:val="00D5404F"/>
    <w:rsid w:val="00D54405"/>
    <w:rsid w:val="00D54483"/>
    <w:rsid w:val="00D54A8A"/>
    <w:rsid w:val="00D54DD4"/>
    <w:rsid w:val="00D54DD5"/>
    <w:rsid w:val="00D55C5B"/>
    <w:rsid w:val="00D55E9D"/>
    <w:rsid w:val="00D56192"/>
    <w:rsid w:val="00D56651"/>
    <w:rsid w:val="00D566DF"/>
    <w:rsid w:val="00D56FBE"/>
    <w:rsid w:val="00D57262"/>
    <w:rsid w:val="00D57306"/>
    <w:rsid w:val="00D57364"/>
    <w:rsid w:val="00D574AD"/>
    <w:rsid w:val="00D5771C"/>
    <w:rsid w:val="00D57A2A"/>
    <w:rsid w:val="00D57C16"/>
    <w:rsid w:val="00D60244"/>
    <w:rsid w:val="00D605D1"/>
    <w:rsid w:val="00D607EC"/>
    <w:rsid w:val="00D619B5"/>
    <w:rsid w:val="00D62018"/>
    <w:rsid w:val="00D6259D"/>
    <w:rsid w:val="00D626DD"/>
    <w:rsid w:val="00D628E5"/>
    <w:rsid w:val="00D62B4E"/>
    <w:rsid w:val="00D62BC1"/>
    <w:rsid w:val="00D635CE"/>
    <w:rsid w:val="00D63650"/>
    <w:rsid w:val="00D637D1"/>
    <w:rsid w:val="00D638C2"/>
    <w:rsid w:val="00D6398E"/>
    <w:rsid w:val="00D63A92"/>
    <w:rsid w:val="00D63D6B"/>
    <w:rsid w:val="00D63DC0"/>
    <w:rsid w:val="00D64E2C"/>
    <w:rsid w:val="00D6589F"/>
    <w:rsid w:val="00D65FD3"/>
    <w:rsid w:val="00D6602B"/>
    <w:rsid w:val="00D66229"/>
    <w:rsid w:val="00D6625E"/>
    <w:rsid w:val="00D667FD"/>
    <w:rsid w:val="00D66C77"/>
    <w:rsid w:val="00D66EEB"/>
    <w:rsid w:val="00D66FDD"/>
    <w:rsid w:val="00D6702F"/>
    <w:rsid w:val="00D670E9"/>
    <w:rsid w:val="00D675A0"/>
    <w:rsid w:val="00D67822"/>
    <w:rsid w:val="00D67B17"/>
    <w:rsid w:val="00D70683"/>
    <w:rsid w:val="00D70AE2"/>
    <w:rsid w:val="00D70D3D"/>
    <w:rsid w:val="00D71188"/>
    <w:rsid w:val="00D711A5"/>
    <w:rsid w:val="00D711F1"/>
    <w:rsid w:val="00D71421"/>
    <w:rsid w:val="00D717EE"/>
    <w:rsid w:val="00D71B1A"/>
    <w:rsid w:val="00D71B97"/>
    <w:rsid w:val="00D71C3B"/>
    <w:rsid w:val="00D71C48"/>
    <w:rsid w:val="00D71DD5"/>
    <w:rsid w:val="00D71F4D"/>
    <w:rsid w:val="00D72137"/>
    <w:rsid w:val="00D72456"/>
    <w:rsid w:val="00D7270F"/>
    <w:rsid w:val="00D72802"/>
    <w:rsid w:val="00D7281F"/>
    <w:rsid w:val="00D72B74"/>
    <w:rsid w:val="00D72BDC"/>
    <w:rsid w:val="00D7305D"/>
    <w:rsid w:val="00D730F1"/>
    <w:rsid w:val="00D73FF8"/>
    <w:rsid w:val="00D7429B"/>
    <w:rsid w:val="00D743E0"/>
    <w:rsid w:val="00D75137"/>
    <w:rsid w:val="00D75270"/>
    <w:rsid w:val="00D75278"/>
    <w:rsid w:val="00D753C5"/>
    <w:rsid w:val="00D756DE"/>
    <w:rsid w:val="00D7634C"/>
    <w:rsid w:val="00D76421"/>
    <w:rsid w:val="00D76924"/>
    <w:rsid w:val="00D76A25"/>
    <w:rsid w:val="00D76A3B"/>
    <w:rsid w:val="00D76B44"/>
    <w:rsid w:val="00D76CE6"/>
    <w:rsid w:val="00D76E44"/>
    <w:rsid w:val="00D76FBE"/>
    <w:rsid w:val="00D771CB"/>
    <w:rsid w:val="00D774C2"/>
    <w:rsid w:val="00D7750B"/>
    <w:rsid w:val="00D776E6"/>
    <w:rsid w:val="00D777F6"/>
    <w:rsid w:val="00D779C3"/>
    <w:rsid w:val="00D77A0B"/>
    <w:rsid w:val="00D77A47"/>
    <w:rsid w:val="00D8039D"/>
    <w:rsid w:val="00D803F8"/>
    <w:rsid w:val="00D80414"/>
    <w:rsid w:val="00D80561"/>
    <w:rsid w:val="00D80731"/>
    <w:rsid w:val="00D80835"/>
    <w:rsid w:val="00D80A20"/>
    <w:rsid w:val="00D80BC0"/>
    <w:rsid w:val="00D811A6"/>
    <w:rsid w:val="00D81626"/>
    <w:rsid w:val="00D81782"/>
    <w:rsid w:val="00D818B4"/>
    <w:rsid w:val="00D819BB"/>
    <w:rsid w:val="00D820E5"/>
    <w:rsid w:val="00D82D37"/>
    <w:rsid w:val="00D8316C"/>
    <w:rsid w:val="00D83A4D"/>
    <w:rsid w:val="00D83E34"/>
    <w:rsid w:val="00D84304"/>
    <w:rsid w:val="00D8451B"/>
    <w:rsid w:val="00D847B7"/>
    <w:rsid w:val="00D8490B"/>
    <w:rsid w:val="00D84D2E"/>
    <w:rsid w:val="00D8515B"/>
    <w:rsid w:val="00D85627"/>
    <w:rsid w:val="00D857F7"/>
    <w:rsid w:val="00D85C7B"/>
    <w:rsid w:val="00D85E13"/>
    <w:rsid w:val="00D86130"/>
    <w:rsid w:val="00D863E1"/>
    <w:rsid w:val="00D86B57"/>
    <w:rsid w:val="00D872AC"/>
    <w:rsid w:val="00D8749D"/>
    <w:rsid w:val="00D878D7"/>
    <w:rsid w:val="00D878F4"/>
    <w:rsid w:val="00D87A96"/>
    <w:rsid w:val="00D87C2C"/>
    <w:rsid w:val="00D87C6F"/>
    <w:rsid w:val="00D909DB"/>
    <w:rsid w:val="00D92439"/>
    <w:rsid w:val="00D924A2"/>
    <w:rsid w:val="00D93003"/>
    <w:rsid w:val="00D9365D"/>
    <w:rsid w:val="00D93870"/>
    <w:rsid w:val="00D93E3F"/>
    <w:rsid w:val="00D93E4E"/>
    <w:rsid w:val="00D94E87"/>
    <w:rsid w:val="00D9554A"/>
    <w:rsid w:val="00D95805"/>
    <w:rsid w:val="00D95ABB"/>
    <w:rsid w:val="00D95C39"/>
    <w:rsid w:val="00D95D1F"/>
    <w:rsid w:val="00D9629B"/>
    <w:rsid w:val="00D962C7"/>
    <w:rsid w:val="00D9687E"/>
    <w:rsid w:val="00D96C04"/>
    <w:rsid w:val="00D971F1"/>
    <w:rsid w:val="00DA074F"/>
    <w:rsid w:val="00DA07D7"/>
    <w:rsid w:val="00DA0F55"/>
    <w:rsid w:val="00DA1068"/>
    <w:rsid w:val="00DA17BC"/>
    <w:rsid w:val="00DA1A12"/>
    <w:rsid w:val="00DA1C10"/>
    <w:rsid w:val="00DA207C"/>
    <w:rsid w:val="00DA262C"/>
    <w:rsid w:val="00DA311A"/>
    <w:rsid w:val="00DA3774"/>
    <w:rsid w:val="00DA39BD"/>
    <w:rsid w:val="00DA3C80"/>
    <w:rsid w:val="00DA3CA2"/>
    <w:rsid w:val="00DA3FD8"/>
    <w:rsid w:val="00DA40E9"/>
    <w:rsid w:val="00DA42BE"/>
    <w:rsid w:val="00DA4855"/>
    <w:rsid w:val="00DA4C61"/>
    <w:rsid w:val="00DA4CA7"/>
    <w:rsid w:val="00DA4D74"/>
    <w:rsid w:val="00DA4FED"/>
    <w:rsid w:val="00DA51B4"/>
    <w:rsid w:val="00DA5610"/>
    <w:rsid w:val="00DA599C"/>
    <w:rsid w:val="00DA5EE9"/>
    <w:rsid w:val="00DA5F68"/>
    <w:rsid w:val="00DA649D"/>
    <w:rsid w:val="00DA64A6"/>
    <w:rsid w:val="00DA66D6"/>
    <w:rsid w:val="00DA68B8"/>
    <w:rsid w:val="00DA6A52"/>
    <w:rsid w:val="00DA6F4D"/>
    <w:rsid w:val="00DA7F2A"/>
    <w:rsid w:val="00DB0142"/>
    <w:rsid w:val="00DB024F"/>
    <w:rsid w:val="00DB0366"/>
    <w:rsid w:val="00DB0741"/>
    <w:rsid w:val="00DB0947"/>
    <w:rsid w:val="00DB0B15"/>
    <w:rsid w:val="00DB0C6E"/>
    <w:rsid w:val="00DB1101"/>
    <w:rsid w:val="00DB16FB"/>
    <w:rsid w:val="00DB18FF"/>
    <w:rsid w:val="00DB20F4"/>
    <w:rsid w:val="00DB27B1"/>
    <w:rsid w:val="00DB27BF"/>
    <w:rsid w:val="00DB34C4"/>
    <w:rsid w:val="00DB3AD9"/>
    <w:rsid w:val="00DB4014"/>
    <w:rsid w:val="00DB41B0"/>
    <w:rsid w:val="00DB45A9"/>
    <w:rsid w:val="00DB487E"/>
    <w:rsid w:val="00DB4C4E"/>
    <w:rsid w:val="00DB5B57"/>
    <w:rsid w:val="00DB5E4C"/>
    <w:rsid w:val="00DB5F40"/>
    <w:rsid w:val="00DB612F"/>
    <w:rsid w:val="00DB6797"/>
    <w:rsid w:val="00DB6974"/>
    <w:rsid w:val="00DB6D69"/>
    <w:rsid w:val="00DB6E6E"/>
    <w:rsid w:val="00DB6F3C"/>
    <w:rsid w:val="00DB736E"/>
    <w:rsid w:val="00DB7417"/>
    <w:rsid w:val="00DB79D9"/>
    <w:rsid w:val="00DB7F50"/>
    <w:rsid w:val="00DC0229"/>
    <w:rsid w:val="00DC0832"/>
    <w:rsid w:val="00DC09E6"/>
    <w:rsid w:val="00DC0B08"/>
    <w:rsid w:val="00DC0CF7"/>
    <w:rsid w:val="00DC0DAB"/>
    <w:rsid w:val="00DC12E6"/>
    <w:rsid w:val="00DC14AD"/>
    <w:rsid w:val="00DC14E4"/>
    <w:rsid w:val="00DC1DE0"/>
    <w:rsid w:val="00DC25A1"/>
    <w:rsid w:val="00DC2BB2"/>
    <w:rsid w:val="00DC319B"/>
    <w:rsid w:val="00DC33C7"/>
    <w:rsid w:val="00DC3A30"/>
    <w:rsid w:val="00DC3AE9"/>
    <w:rsid w:val="00DC3CEE"/>
    <w:rsid w:val="00DC3E54"/>
    <w:rsid w:val="00DC3E8E"/>
    <w:rsid w:val="00DC3F27"/>
    <w:rsid w:val="00DC4637"/>
    <w:rsid w:val="00DC47FB"/>
    <w:rsid w:val="00DC4814"/>
    <w:rsid w:val="00DC4CCF"/>
    <w:rsid w:val="00DC4FF3"/>
    <w:rsid w:val="00DC5013"/>
    <w:rsid w:val="00DC559C"/>
    <w:rsid w:val="00DC5ED9"/>
    <w:rsid w:val="00DC62E5"/>
    <w:rsid w:val="00DC6771"/>
    <w:rsid w:val="00DC6ED7"/>
    <w:rsid w:val="00DC6F6E"/>
    <w:rsid w:val="00DC6FE4"/>
    <w:rsid w:val="00DC7383"/>
    <w:rsid w:val="00DC76B3"/>
    <w:rsid w:val="00DC7C4B"/>
    <w:rsid w:val="00DC7E42"/>
    <w:rsid w:val="00DC7F70"/>
    <w:rsid w:val="00DD0367"/>
    <w:rsid w:val="00DD0727"/>
    <w:rsid w:val="00DD07DC"/>
    <w:rsid w:val="00DD1166"/>
    <w:rsid w:val="00DD132A"/>
    <w:rsid w:val="00DD1458"/>
    <w:rsid w:val="00DD1556"/>
    <w:rsid w:val="00DD1561"/>
    <w:rsid w:val="00DD1A96"/>
    <w:rsid w:val="00DD1B3A"/>
    <w:rsid w:val="00DD1C64"/>
    <w:rsid w:val="00DD22E6"/>
    <w:rsid w:val="00DD2A84"/>
    <w:rsid w:val="00DD357C"/>
    <w:rsid w:val="00DD37DF"/>
    <w:rsid w:val="00DD39A3"/>
    <w:rsid w:val="00DD3E04"/>
    <w:rsid w:val="00DD3FF8"/>
    <w:rsid w:val="00DD4479"/>
    <w:rsid w:val="00DD4846"/>
    <w:rsid w:val="00DD48AD"/>
    <w:rsid w:val="00DD4DFE"/>
    <w:rsid w:val="00DD5575"/>
    <w:rsid w:val="00DD5881"/>
    <w:rsid w:val="00DD59B2"/>
    <w:rsid w:val="00DD6115"/>
    <w:rsid w:val="00DD61F7"/>
    <w:rsid w:val="00DD6265"/>
    <w:rsid w:val="00DD6356"/>
    <w:rsid w:val="00DD63B0"/>
    <w:rsid w:val="00DD64AF"/>
    <w:rsid w:val="00DD69D8"/>
    <w:rsid w:val="00DD79B8"/>
    <w:rsid w:val="00DD7F36"/>
    <w:rsid w:val="00DD7FB2"/>
    <w:rsid w:val="00DE0025"/>
    <w:rsid w:val="00DE006A"/>
    <w:rsid w:val="00DE0730"/>
    <w:rsid w:val="00DE09E7"/>
    <w:rsid w:val="00DE0B95"/>
    <w:rsid w:val="00DE1502"/>
    <w:rsid w:val="00DE1DE9"/>
    <w:rsid w:val="00DE1E00"/>
    <w:rsid w:val="00DE1E55"/>
    <w:rsid w:val="00DE2425"/>
    <w:rsid w:val="00DE27BB"/>
    <w:rsid w:val="00DE2E90"/>
    <w:rsid w:val="00DE3423"/>
    <w:rsid w:val="00DE372F"/>
    <w:rsid w:val="00DE42C6"/>
    <w:rsid w:val="00DE4405"/>
    <w:rsid w:val="00DE46E3"/>
    <w:rsid w:val="00DE4C48"/>
    <w:rsid w:val="00DE4E15"/>
    <w:rsid w:val="00DE53B3"/>
    <w:rsid w:val="00DE55F0"/>
    <w:rsid w:val="00DE560A"/>
    <w:rsid w:val="00DE571C"/>
    <w:rsid w:val="00DE59BE"/>
    <w:rsid w:val="00DE5A22"/>
    <w:rsid w:val="00DE5B0E"/>
    <w:rsid w:val="00DE6748"/>
    <w:rsid w:val="00DE69C7"/>
    <w:rsid w:val="00DE6AE6"/>
    <w:rsid w:val="00DE6EA5"/>
    <w:rsid w:val="00DE71CC"/>
    <w:rsid w:val="00DE7638"/>
    <w:rsid w:val="00DE7778"/>
    <w:rsid w:val="00DE7D84"/>
    <w:rsid w:val="00DF041F"/>
    <w:rsid w:val="00DF08DC"/>
    <w:rsid w:val="00DF0A2C"/>
    <w:rsid w:val="00DF0B0A"/>
    <w:rsid w:val="00DF0B9D"/>
    <w:rsid w:val="00DF0C04"/>
    <w:rsid w:val="00DF0F4C"/>
    <w:rsid w:val="00DF155B"/>
    <w:rsid w:val="00DF1B56"/>
    <w:rsid w:val="00DF1CDB"/>
    <w:rsid w:val="00DF2044"/>
    <w:rsid w:val="00DF2051"/>
    <w:rsid w:val="00DF2295"/>
    <w:rsid w:val="00DF22C5"/>
    <w:rsid w:val="00DF24AB"/>
    <w:rsid w:val="00DF2E2E"/>
    <w:rsid w:val="00DF2ED4"/>
    <w:rsid w:val="00DF2F38"/>
    <w:rsid w:val="00DF30F4"/>
    <w:rsid w:val="00DF3393"/>
    <w:rsid w:val="00DF3AFE"/>
    <w:rsid w:val="00DF4096"/>
    <w:rsid w:val="00DF42AE"/>
    <w:rsid w:val="00DF4814"/>
    <w:rsid w:val="00DF48D3"/>
    <w:rsid w:val="00DF4A30"/>
    <w:rsid w:val="00DF4AE6"/>
    <w:rsid w:val="00DF4EF8"/>
    <w:rsid w:val="00DF500B"/>
    <w:rsid w:val="00DF58B7"/>
    <w:rsid w:val="00DF5A87"/>
    <w:rsid w:val="00DF5B7F"/>
    <w:rsid w:val="00DF5BD0"/>
    <w:rsid w:val="00DF5C83"/>
    <w:rsid w:val="00DF663C"/>
    <w:rsid w:val="00DF6958"/>
    <w:rsid w:val="00DF6983"/>
    <w:rsid w:val="00DF6AD2"/>
    <w:rsid w:val="00DF6AEE"/>
    <w:rsid w:val="00DF7CBA"/>
    <w:rsid w:val="00E004CB"/>
    <w:rsid w:val="00E00753"/>
    <w:rsid w:val="00E00A2C"/>
    <w:rsid w:val="00E00EAB"/>
    <w:rsid w:val="00E0115E"/>
    <w:rsid w:val="00E01219"/>
    <w:rsid w:val="00E012EA"/>
    <w:rsid w:val="00E015CD"/>
    <w:rsid w:val="00E01D71"/>
    <w:rsid w:val="00E02102"/>
    <w:rsid w:val="00E02665"/>
    <w:rsid w:val="00E027B7"/>
    <w:rsid w:val="00E03260"/>
    <w:rsid w:val="00E03399"/>
    <w:rsid w:val="00E035BE"/>
    <w:rsid w:val="00E0376F"/>
    <w:rsid w:val="00E03CA1"/>
    <w:rsid w:val="00E03F5C"/>
    <w:rsid w:val="00E04103"/>
    <w:rsid w:val="00E048F8"/>
    <w:rsid w:val="00E04D05"/>
    <w:rsid w:val="00E05259"/>
    <w:rsid w:val="00E052E6"/>
    <w:rsid w:val="00E06280"/>
    <w:rsid w:val="00E064DC"/>
    <w:rsid w:val="00E06676"/>
    <w:rsid w:val="00E069E1"/>
    <w:rsid w:val="00E071D6"/>
    <w:rsid w:val="00E07B18"/>
    <w:rsid w:val="00E07E36"/>
    <w:rsid w:val="00E07EDA"/>
    <w:rsid w:val="00E10663"/>
    <w:rsid w:val="00E10FC6"/>
    <w:rsid w:val="00E110CE"/>
    <w:rsid w:val="00E11AAD"/>
    <w:rsid w:val="00E11AEF"/>
    <w:rsid w:val="00E11AFD"/>
    <w:rsid w:val="00E11C1D"/>
    <w:rsid w:val="00E11D76"/>
    <w:rsid w:val="00E11FF2"/>
    <w:rsid w:val="00E12286"/>
    <w:rsid w:val="00E126FD"/>
    <w:rsid w:val="00E127B2"/>
    <w:rsid w:val="00E129EB"/>
    <w:rsid w:val="00E12B68"/>
    <w:rsid w:val="00E12E0A"/>
    <w:rsid w:val="00E12FA5"/>
    <w:rsid w:val="00E13246"/>
    <w:rsid w:val="00E134F4"/>
    <w:rsid w:val="00E135B1"/>
    <w:rsid w:val="00E13718"/>
    <w:rsid w:val="00E145E9"/>
    <w:rsid w:val="00E14953"/>
    <w:rsid w:val="00E14A8D"/>
    <w:rsid w:val="00E15463"/>
    <w:rsid w:val="00E15956"/>
    <w:rsid w:val="00E15A08"/>
    <w:rsid w:val="00E15A64"/>
    <w:rsid w:val="00E15C8E"/>
    <w:rsid w:val="00E161E6"/>
    <w:rsid w:val="00E16373"/>
    <w:rsid w:val="00E1663E"/>
    <w:rsid w:val="00E17A35"/>
    <w:rsid w:val="00E20540"/>
    <w:rsid w:val="00E20912"/>
    <w:rsid w:val="00E209B6"/>
    <w:rsid w:val="00E20AFC"/>
    <w:rsid w:val="00E20B17"/>
    <w:rsid w:val="00E219C8"/>
    <w:rsid w:val="00E21A13"/>
    <w:rsid w:val="00E21F51"/>
    <w:rsid w:val="00E21FAC"/>
    <w:rsid w:val="00E2207C"/>
    <w:rsid w:val="00E22092"/>
    <w:rsid w:val="00E22B42"/>
    <w:rsid w:val="00E23039"/>
    <w:rsid w:val="00E23097"/>
    <w:rsid w:val="00E2399D"/>
    <w:rsid w:val="00E23ACE"/>
    <w:rsid w:val="00E23B0C"/>
    <w:rsid w:val="00E23C0D"/>
    <w:rsid w:val="00E240C2"/>
    <w:rsid w:val="00E2427A"/>
    <w:rsid w:val="00E243FF"/>
    <w:rsid w:val="00E2480A"/>
    <w:rsid w:val="00E24ACE"/>
    <w:rsid w:val="00E24B17"/>
    <w:rsid w:val="00E252B1"/>
    <w:rsid w:val="00E254E5"/>
    <w:rsid w:val="00E25CC9"/>
    <w:rsid w:val="00E25D68"/>
    <w:rsid w:val="00E26014"/>
    <w:rsid w:val="00E262DD"/>
    <w:rsid w:val="00E2669B"/>
    <w:rsid w:val="00E2681E"/>
    <w:rsid w:val="00E26A1E"/>
    <w:rsid w:val="00E26B01"/>
    <w:rsid w:val="00E26C3C"/>
    <w:rsid w:val="00E27164"/>
    <w:rsid w:val="00E2789C"/>
    <w:rsid w:val="00E27C00"/>
    <w:rsid w:val="00E30689"/>
    <w:rsid w:val="00E30C8C"/>
    <w:rsid w:val="00E312EA"/>
    <w:rsid w:val="00E314BB"/>
    <w:rsid w:val="00E315A6"/>
    <w:rsid w:val="00E31AE9"/>
    <w:rsid w:val="00E32262"/>
    <w:rsid w:val="00E32502"/>
    <w:rsid w:val="00E32518"/>
    <w:rsid w:val="00E3272F"/>
    <w:rsid w:val="00E32F3E"/>
    <w:rsid w:val="00E32FA2"/>
    <w:rsid w:val="00E33749"/>
    <w:rsid w:val="00E349EF"/>
    <w:rsid w:val="00E34CA3"/>
    <w:rsid w:val="00E34F4D"/>
    <w:rsid w:val="00E352F5"/>
    <w:rsid w:val="00E3559F"/>
    <w:rsid w:val="00E357A1"/>
    <w:rsid w:val="00E35B2A"/>
    <w:rsid w:val="00E35BAE"/>
    <w:rsid w:val="00E36024"/>
    <w:rsid w:val="00E36A16"/>
    <w:rsid w:val="00E36FED"/>
    <w:rsid w:val="00E3732E"/>
    <w:rsid w:val="00E374AE"/>
    <w:rsid w:val="00E37543"/>
    <w:rsid w:val="00E37B07"/>
    <w:rsid w:val="00E37D28"/>
    <w:rsid w:val="00E37DD7"/>
    <w:rsid w:val="00E37FB3"/>
    <w:rsid w:val="00E37FE9"/>
    <w:rsid w:val="00E37FF1"/>
    <w:rsid w:val="00E401A5"/>
    <w:rsid w:val="00E40AE9"/>
    <w:rsid w:val="00E40DAD"/>
    <w:rsid w:val="00E40DE8"/>
    <w:rsid w:val="00E4100B"/>
    <w:rsid w:val="00E414D4"/>
    <w:rsid w:val="00E41F8A"/>
    <w:rsid w:val="00E42484"/>
    <w:rsid w:val="00E42908"/>
    <w:rsid w:val="00E43919"/>
    <w:rsid w:val="00E43C12"/>
    <w:rsid w:val="00E43C69"/>
    <w:rsid w:val="00E441C9"/>
    <w:rsid w:val="00E4509B"/>
    <w:rsid w:val="00E45255"/>
    <w:rsid w:val="00E45621"/>
    <w:rsid w:val="00E45B35"/>
    <w:rsid w:val="00E4606B"/>
    <w:rsid w:val="00E461EF"/>
    <w:rsid w:val="00E46467"/>
    <w:rsid w:val="00E469C7"/>
    <w:rsid w:val="00E470D6"/>
    <w:rsid w:val="00E477AE"/>
    <w:rsid w:val="00E47ABE"/>
    <w:rsid w:val="00E5035D"/>
    <w:rsid w:val="00E5090D"/>
    <w:rsid w:val="00E509AF"/>
    <w:rsid w:val="00E50A29"/>
    <w:rsid w:val="00E50DFB"/>
    <w:rsid w:val="00E50F3C"/>
    <w:rsid w:val="00E51126"/>
    <w:rsid w:val="00E51693"/>
    <w:rsid w:val="00E51821"/>
    <w:rsid w:val="00E51FD3"/>
    <w:rsid w:val="00E52280"/>
    <w:rsid w:val="00E523DF"/>
    <w:rsid w:val="00E52E88"/>
    <w:rsid w:val="00E5361F"/>
    <w:rsid w:val="00E53640"/>
    <w:rsid w:val="00E538FE"/>
    <w:rsid w:val="00E53B14"/>
    <w:rsid w:val="00E53C7B"/>
    <w:rsid w:val="00E541B4"/>
    <w:rsid w:val="00E54257"/>
    <w:rsid w:val="00E5432F"/>
    <w:rsid w:val="00E5494A"/>
    <w:rsid w:val="00E549DE"/>
    <w:rsid w:val="00E54A0D"/>
    <w:rsid w:val="00E54F3E"/>
    <w:rsid w:val="00E5526A"/>
    <w:rsid w:val="00E5535A"/>
    <w:rsid w:val="00E55974"/>
    <w:rsid w:val="00E55AD7"/>
    <w:rsid w:val="00E55D83"/>
    <w:rsid w:val="00E5684B"/>
    <w:rsid w:val="00E56CB1"/>
    <w:rsid w:val="00E57082"/>
    <w:rsid w:val="00E57311"/>
    <w:rsid w:val="00E5793B"/>
    <w:rsid w:val="00E6012B"/>
    <w:rsid w:val="00E6037D"/>
    <w:rsid w:val="00E60CAC"/>
    <w:rsid w:val="00E60D82"/>
    <w:rsid w:val="00E611F6"/>
    <w:rsid w:val="00E614E9"/>
    <w:rsid w:val="00E615B0"/>
    <w:rsid w:val="00E618F4"/>
    <w:rsid w:val="00E61B2A"/>
    <w:rsid w:val="00E61F58"/>
    <w:rsid w:val="00E622EF"/>
    <w:rsid w:val="00E6255A"/>
    <w:rsid w:val="00E62D5C"/>
    <w:rsid w:val="00E632D1"/>
    <w:rsid w:val="00E63579"/>
    <w:rsid w:val="00E63699"/>
    <w:rsid w:val="00E63E68"/>
    <w:rsid w:val="00E6406E"/>
    <w:rsid w:val="00E6421B"/>
    <w:rsid w:val="00E64551"/>
    <w:rsid w:val="00E64626"/>
    <w:rsid w:val="00E64853"/>
    <w:rsid w:val="00E65517"/>
    <w:rsid w:val="00E655C7"/>
    <w:rsid w:val="00E6577C"/>
    <w:rsid w:val="00E65CE5"/>
    <w:rsid w:val="00E663E2"/>
    <w:rsid w:val="00E6647E"/>
    <w:rsid w:val="00E6662E"/>
    <w:rsid w:val="00E66687"/>
    <w:rsid w:val="00E66724"/>
    <w:rsid w:val="00E66BED"/>
    <w:rsid w:val="00E66E7A"/>
    <w:rsid w:val="00E6723C"/>
    <w:rsid w:val="00E67669"/>
    <w:rsid w:val="00E67A93"/>
    <w:rsid w:val="00E703FA"/>
    <w:rsid w:val="00E70743"/>
    <w:rsid w:val="00E71050"/>
    <w:rsid w:val="00E71906"/>
    <w:rsid w:val="00E71AC9"/>
    <w:rsid w:val="00E71BAE"/>
    <w:rsid w:val="00E71C8C"/>
    <w:rsid w:val="00E71CA3"/>
    <w:rsid w:val="00E71D30"/>
    <w:rsid w:val="00E722A2"/>
    <w:rsid w:val="00E72582"/>
    <w:rsid w:val="00E72E53"/>
    <w:rsid w:val="00E7306E"/>
    <w:rsid w:val="00E73177"/>
    <w:rsid w:val="00E73737"/>
    <w:rsid w:val="00E7390D"/>
    <w:rsid w:val="00E7419D"/>
    <w:rsid w:val="00E74531"/>
    <w:rsid w:val="00E74B46"/>
    <w:rsid w:val="00E74D05"/>
    <w:rsid w:val="00E751A7"/>
    <w:rsid w:val="00E754F5"/>
    <w:rsid w:val="00E756E4"/>
    <w:rsid w:val="00E75A1B"/>
    <w:rsid w:val="00E75C85"/>
    <w:rsid w:val="00E75F14"/>
    <w:rsid w:val="00E760E7"/>
    <w:rsid w:val="00E76560"/>
    <w:rsid w:val="00E76C04"/>
    <w:rsid w:val="00E770EC"/>
    <w:rsid w:val="00E771FA"/>
    <w:rsid w:val="00E77277"/>
    <w:rsid w:val="00E7728B"/>
    <w:rsid w:val="00E7752E"/>
    <w:rsid w:val="00E775C7"/>
    <w:rsid w:val="00E77B9F"/>
    <w:rsid w:val="00E77FB4"/>
    <w:rsid w:val="00E801DB"/>
    <w:rsid w:val="00E805F5"/>
    <w:rsid w:val="00E8094B"/>
    <w:rsid w:val="00E81041"/>
    <w:rsid w:val="00E81228"/>
    <w:rsid w:val="00E81232"/>
    <w:rsid w:val="00E81613"/>
    <w:rsid w:val="00E816CE"/>
    <w:rsid w:val="00E81E5D"/>
    <w:rsid w:val="00E81EE5"/>
    <w:rsid w:val="00E8208E"/>
    <w:rsid w:val="00E82090"/>
    <w:rsid w:val="00E82626"/>
    <w:rsid w:val="00E82F5C"/>
    <w:rsid w:val="00E83178"/>
    <w:rsid w:val="00E848BD"/>
    <w:rsid w:val="00E84FE0"/>
    <w:rsid w:val="00E85B51"/>
    <w:rsid w:val="00E85BF6"/>
    <w:rsid w:val="00E86413"/>
    <w:rsid w:val="00E87039"/>
    <w:rsid w:val="00E87133"/>
    <w:rsid w:val="00E8719F"/>
    <w:rsid w:val="00E873F2"/>
    <w:rsid w:val="00E878DF"/>
    <w:rsid w:val="00E87FFA"/>
    <w:rsid w:val="00E90112"/>
    <w:rsid w:val="00E90787"/>
    <w:rsid w:val="00E9092D"/>
    <w:rsid w:val="00E90E51"/>
    <w:rsid w:val="00E91105"/>
    <w:rsid w:val="00E9111B"/>
    <w:rsid w:val="00E912BF"/>
    <w:rsid w:val="00E919CA"/>
    <w:rsid w:val="00E91C88"/>
    <w:rsid w:val="00E925DC"/>
    <w:rsid w:val="00E9300B"/>
    <w:rsid w:val="00E9317D"/>
    <w:rsid w:val="00E93207"/>
    <w:rsid w:val="00E932EE"/>
    <w:rsid w:val="00E9379D"/>
    <w:rsid w:val="00E93870"/>
    <w:rsid w:val="00E942C6"/>
    <w:rsid w:val="00E94467"/>
    <w:rsid w:val="00E945EF"/>
    <w:rsid w:val="00E94AB5"/>
    <w:rsid w:val="00E94FFF"/>
    <w:rsid w:val="00E9550C"/>
    <w:rsid w:val="00E95572"/>
    <w:rsid w:val="00E955F4"/>
    <w:rsid w:val="00E95603"/>
    <w:rsid w:val="00E95609"/>
    <w:rsid w:val="00E956A9"/>
    <w:rsid w:val="00E956C9"/>
    <w:rsid w:val="00E959C4"/>
    <w:rsid w:val="00E95CE5"/>
    <w:rsid w:val="00E95E07"/>
    <w:rsid w:val="00E96239"/>
    <w:rsid w:val="00E9664D"/>
    <w:rsid w:val="00E9667B"/>
    <w:rsid w:val="00E96756"/>
    <w:rsid w:val="00E967FF"/>
    <w:rsid w:val="00E96837"/>
    <w:rsid w:val="00E96F30"/>
    <w:rsid w:val="00E9712A"/>
    <w:rsid w:val="00E9719F"/>
    <w:rsid w:val="00E9724F"/>
    <w:rsid w:val="00E9761D"/>
    <w:rsid w:val="00E97AA1"/>
    <w:rsid w:val="00E97F27"/>
    <w:rsid w:val="00E97F98"/>
    <w:rsid w:val="00EA025E"/>
    <w:rsid w:val="00EA059D"/>
    <w:rsid w:val="00EA069C"/>
    <w:rsid w:val="00EA0C9C"/>
    <w:rsid w:val="00EA124E"/>
    <w:rsid w:val="00EA1369"/>
    <w:rsid w:val="00EA14D5"/>
    <w:rsid w:val="00EA1553"/>
    <w:rsid w:val="00EA1571"/>
    <w:rsid w:val="00EA1592"/>
    <w:rsid w:val="00EA18D7"/>
    <w:rsid w:val="00EA1AF7"/>
    <w:rsid w:val="00EA1DD0"/>
    <w:rsid w:val="00EA1FF4"/>
    <w:rsid w:val="00EA22B1"/>
    <w:rsid w:val="00EA235C"/>
    <w:rsid w:val="00EA255C"/>
    <w:rsid w:val="00EA34C2"/>
    <w:rsid w:val="00EA40C7"/>
    <w:rsid w:val="00EA458A"/>
    <w:rsid w:val="00EA45A7"/>
    <w:rsid w:val="00EA4676"/>
    <w:rsid w:val="00EA4BEE"/>
    <w:rsid w:val="00EA5353"/>
    <w:rsid w:val="00EA54CF"/>
    <w:rsid w:val="00EA56BF"/>
    <w:rsid w:val="00EA5E24"/>
    <w:rsid w:val="00EA62F5"/>
    <w:rsid w:val="00EA6556"/>
    <w:rsid w:val="00EA73B0"/>
    <w:rsid w:val="00EA7531"/>
    <w:rsid w:val="00EA7A28"/>
    <w:rsid w:val="00EA7D91"/>
    <w:rsid w:val="00EB016D"/>
    <w:rsid w:val="00EB0A45"/>
    <w:rsid w:val="00EB0DE2"/>
    <w:rsid w:val="00EB154C"/>
    <w:rsid w:val="00EB1850"/>
    <w:rsid w:val="00EB1B1E"/>
    <w:rsid w:val="00EB1C19"/>
    <w:rsid w:val="00EB1CE8"/>
    <w:rsid w:val="00EB1F9F"/>
    <w:rsid w:val="00EB1FCD"/>
    <w:rsid w:val="00EB2028"/>
    <w:rsid w:val="00EB203E"/>
    <w:rsid w:val="00EB2092"/>
    <w:rsid w:val="00EB28AA"/>
    <w:rsid w:val="00EB2D30"/>
    <w:rsid w:val="00EB2E51"/>
    <w:rsid w:val="00EB3051"/>
    <w:rsid w:val="00EB319B"/>
    <w:rsid w:val="00EB32B9"/>
    <w:rsid w:val="00EB3AA6"/>
    <w:rsid w:val="00EB3AF7"/>
    <w:rsid w:val="00EB3E58"/>
    <w:rsid w:val="00EB40D2"/>
    <w:rsid w:val="00EB4119"/>
    <w:rsid w:val="00EB432D"/>
    <w:rsid w:val="00EB447C"/>
    <w:rsid w:val="00EB4CEA"/>
    <w:rsid w:val="00EB4FD4"/>
    <w:rsid w:val="00EB50F7"/>
    <w:rsid w:val="00EB54B9"/>
    <w:rsid w:val="00EB5647"/>
    <w:rsid w:val="00EB5676"/>
    <w:rsid w:val="00EB5C05"/>
    <w:rsid w:val="00EB6119"/>
    <w:rsid w:val="00EB61F2"/>
    <w:rsid w:val="00EB62B0"/>
    <w:rsid w:val="00EB6787"/>
    <w:rsid w:val="00EB6946"/>
    <w:rsid w:val="00EB69DC"/>
    <w:rsid w:val="00EB6A19"/>
    <w:rsid w:val="00EB7469"/>
    <w:rsid w:val="00EB7AFD"/>
    <w:rsid w:val="00EB7F5F"/>
    <w:rsid w:val="00EB7FC8"/>
    <w:rsid w:val="00EC009E"/>
    <w:rsid w:val="00EC0480"/>
    <w:rsid w:val="00EC0915"/>
    <w:rsid w:val="00EC0E70"/>
    <w:rsid w:val="00EC1214"/>
    <w:rsid w:val="00EC13DB"/>
    <w:rsid w:val="00EC16C7"/>
    <w:rsid w:val="00EC17CF"/>
    <w:rsid w:val="00EC1C03"/>
    <w:rsid w:val="00EC23F1"/>
    <w:rsid w:val="00EC26AA"/>
    <w:rsid w:val="00EC29D3"/>
    <w:rsid w:val="00EC3124"/>
    <w:rsid w:val="00EC32A0"/>
    <w:rsid w:val="00EC32F8"/>
    <w:rsid w:val="00EC3397"/>
    <w:rsid w:val="00EC3948"/>
    <w:rsid w:val="00EC3C76"/>
    <w:rsid w:val="00EC3E01"/>
    <w:rsid w:val="00EC3F8F"/>
    <w:rsid w:val="00EC4085"/>
    <w:rsid w:val="00EC470B"/>
    <w:rsid w:val="00EC4A2E"/>
    <w:rsid w:val="00EC4B9C"/>
    <w:rsid w:val="00EC4DA0"/>
    <w:rsid w:val="00EC4F08"/>
    <w:rsid w:val="00EC5322"/>
    <w:rsid w:val="00EC585E"/>
    <w:rsid w:val="00EC5A03"/>
    <w:rsid w:val="00EC5A2F"/>
    <w:rsid w:val="00EC68E6"/>
    <w:rsid w:val="00EC727C"/>
    <w:rsid w:val="00EC732B"/>
    <w:rsid w:val="00EC7635"/>
    <w:rsid w:val="00EC77E3"/>
    <w:rsid w:val="00EC7981"/>
    <w:rsid w:val="00ED027A"/>
    <w:rsid w:val="00ED079B"/>
    <w:rsid w:val="00ED1489"/>
    <w:rsid w:val="00ED1E89"/>
    <w:rsid w:val="00ED1FE5"/>
    <w:rsid w:val="00ED27EA"/>
    <w:rsid w:val="00ED2AA6"/>
    <w:rsid w:val="00ED2BA4"/>
    <w:rsid w:val="00ED3E28"/>
    <w:rsid w:val="00ED415C"/>
    <w:rsid w:val="00ED452C"/>
    <w:rsid w:val="00ED4763"/>
    <w:rsid w:val="00ED49C6"/>
    <w:rsid w:val="00ED4BBE"/>
    <w:rsid w:val="00ED4C6F"/>
    <w:rsid w:val="00ED5225"/>
    <w:rsid w:val="00ED62B7"/>
    <w:rsid w:val="00ED62DC"/>
    <w:rsid w:val="00ED62E6"/>
    <w:rsid w:val="00ED67A1"/>
    <w:rsid w:val="00ED68BF"/>
    <w:rsid w:val="00ED6938"/>
    <w:rsid w:val="00ED69BC"/>
    <w:rsid w:val="00ED715D"/>
    <w:rsid w:val="00ED71C4"/>
    <w:rsid w:val="00ED7239"/>
    <w:rsid w:val="00ED7865"/>
    <w:rsid w:val="00EE00DB"/>
    <w:rsid w:val="00EE03EB"/>
    <w:rsid w:val="00EE09B5"/>
    <w:rsid w:val="00EE0BF8"/>
    <w:rsid w:val="00EE0F8C"/>
    <w:rsid w:val="00EE12FB"/>
    <w:rsid w:val="00EE1792"/>
    <w:rsid w:val="00EE1CFD"/>
    <w:rsid w:val="00EE1E31"/>
    <w:rsid w:val="00EE1E52"/>
    <w:rsid w:val="00EE1E98"/>
    <w:rsid w:val="00EE21CF"/>
    <w:rsid w:val="00EE23D9"/>
    <w:rsid w:val="00EE2463"/>
    <w:rsid w:val="00EE27F0"/>
    <w:rsid w:val="00EE2A2E"/>
    <w:rsid w:val="00EE2D51"/>
    <w:rsid w:val="00EE2DFA"/>
    <w:rsid w:val="00EE3095"/>
    <w:rsid w:val="00EE3178"/>
    <w:rsid w:val="00EE32EE"/>
    <w:rsid w:val="00EE3489"/>
    <w:rsid w:val="00EE3574"/>
    <w:rsid w:val="00EE3C56"/>
    <w:rsid w:val="00EE3D63"/>
    <w:rsid w:val="00EE4030"/>
    <w:rsid w:val="00EE4189"/>
    <w:rsid w:val="00EE433E"/>
    <w:rsid w:val="00EE476D"/>
    <w:rsid w:val="00EE4965"/>
    <w:rsid w:val="00EE4E1F"/>
    <w:rsid w:val="00EE5769"/>
    <w:rsid w:val="00EE58B3"/>
    <w:rsid w:val="00EE5A13"/>
    <w:rsid w:val="00EE5DEE"/>
    <w:rsid w:val="00EE6769"/>
    <w:rsid w:val="00EE6BBF"/>
    <w:rsid w:val="00EE6F09"/>
    <w:rsid w:val="00EE73D6"/>
    <w:rsid w:val="00EE7633"/>
    <w:rsid w:val="00EE7792"/>
    <w:rsid w:val="00EE7A2E"/>
    <w:rsid w:val="00EE7ABF"/>
    <w:rsid w:val="00EE7AC8"/>
    <w:rsid w:val="00EF0558"/>
    <w:rsid w:val="00EF066F"/>
    <w:rsid w:val="00EF0949"/>
    <w:rsid w:val="00EF09EC"/>
    <w:rsid w:val="00EF15A2"/>
    <w:rsid w:val="00EF17E4"/>
    <w:rsid w:val="00EF1A2C"/>
    <w:rsid w:val="00EF1B15"/>
    <w:rsid w:val="00EF1DD5"/>
    <w:rsid w:val="00EF1FF1"/>
    <w:rsid w:val="00EF2330"/>
    <w:rsid w:val="00EF2ABF"/>
    <w:rsid w:val="00EF2E00"/>
    <w:rsid w:val="00EF303A"/>
    <w:rsid w:val="00EF333A"/>
    <w:rsid w:val="00EF337A"/>
    <w:rsid w:val="00EF3567"/>
    <w:rsid w:val="00EF35FB"/>
    <w:rsid w:val="00EF3681"/>
    <w:rsid w:val="00EF3938"/>
    <w:rsid w:val="00EF3B4C"/>
    <w:rsid w:val="00EF3E72"/>
    <w:rsid w:val="00EF3EED"/>
    <w:rsid w:val="00EF4021"/>
    <w:rsid w:val="00EF432D"/>
    <w:rsid w:val="00EF4A5B"/>
    <w:rsid w:val="00EF4E8C"/>
    <w:rsid w:val="00EF52A9"/>
    <w:rsid w:val="00EF5643"/>
    <w:rsid w:val="00EF5DF9"/>
    <w:rsid w:val="00EF5E2D"/>
    <w:rsid w:val="00EF62B4"/>
    <w:rsid w:val="00EF690C"/>
    <w:rsid w:val="00EF6A95"/>
    <w:rsid w:val="00EF6CDA"/>
    <w:rsid w:val="00EF72CA"/>
    <w:rsid w:val="00EF7830"/>
    <w:rsid w:val="00EF7C9D"/>
    <w:rsid w:val="00EF7F31"/>
    <w:rsid w:val="00F00028"/>
    <w:rsid w:val="00F006F9"/>
    <w:rsid w:val="00F0086D"/>
    <w:rsid w:val="00F01285"/>
    <w:rsid w:val="00F014E3"/>
    <w:rsid w:val="00F0165A"/>
    <w:rsid w:val="00F0165D"/>
    <w:rsid w:val="00F019E4"/>
    <w:rsid w:val="00F01A18"/>
    <w:rsid w:val="00F01D57"/>
    <w:rsid w:val="00F024D0"/>
    <w:rsid w:val="00F029E8"/>
    <w:rsid w:val="00F02F00"/>
    <w:rsid w:val="00F03071"/>
    <w:rsid w:val="00F03596"/>
    <w:rsid w:val="00F03A96"/>
    <w:rsid w:val="00F03CDC"/>
    <w:rsid w:val="00F03D09"/>
    <w:rsid w:val="00F04058"/>
    <w:rsid w:val="00F040F7"/>
    <w:rsid w:val="00F042F9"/>
    <w:rsid w:val="00F0448D"/>
    <w:rsid w:val="00F04E24"/>
    <w:rsid w:val="00F053B2"/>
    <w:rsid w:val="00F05B0E"/>
    <w:rsid w:val="00F05CED"/>
    <w:rsid w:val="00F06534"/>
    <w:rsid w:val="00F06819"/>
    <w:rsid w:val="00F06C27"/>
    <w:rsid w:val="00F071EA"/>
    <w:rsid w:val="00F07384"/>
    <w:rsid w:val="00F07B6F"/>
    <w:rsid w:val="00F1084B"/>
    <w:rsid w:val="00F10B38"/>
    <w:rsid w:val="00F10B3C"/>
    <w:rsid w:val="00F10BE9"/>
    <w:rsid w:val="00F10D6F"/>
    <w:rsid w:val="00F10E2C"/>
    <w:rsid w:val="00F10F6C"/>
    <w:rsid w:val="00F11575"/>
    <w:rsid w:val="00F12245"/>
    <w:rsid w:val="00F127B4"/>
    <w:rsid w:val="00F12858"/>
    <w:rsid w:val="00F1289E"/>
    <w:rsid w:val="00F12BDB"/>
    <w:rsid w:val="00F130D2"/>
    <w:rsid w:val="00F132A4"/>
    <w:rsid w:val="00F13927"/>
    <w:rsid w:val="00F13A67"/>
    <w:rsid w:val="00F147B7"/>
    <w:rsid w:val="00F1494C"/>
    <w:rsid w:val="00F14F75"/>
    <w:rsid w:val="00F153EA"/>
    <w:rsid w:val="00F1607C"/>
    <w:rsid w:val="00F167AF"/>
    <w:rsid w:val="00F169C6"/>
    <w:rsid w:val="00F16FEE"/>
    <w:rsid w:val="00F1781B"/>
    <w:rsid w:val="00F17A20"/>
    <w:rsid w:val="00F20087"/>
    <w:rsid w:val="00F202DD"/>
    <w:rsid w:val="00F209DB"/>
    <w:rsid w:val="00F20B58"/>
    <w:rsid w:val="00F21043"/>
    <w:rsid w:val="00F2111D"/>
    <w:rsid w:val="00F21165"/>
    <w:rsid w:val="00F21766"/>
    <w:rsid w:val="00F219BB"/>
    <w:rsid w:val="00F219F2"/>
    <w:rsid w:val="00F21EB9"/>
    <w:rsid w:val="00F221A4"/>
    <w:rsid w:val="00F22881"/>
    <w:rsid w:val="00F22C6C"/>
    <w:rsid w:val="00F232C4"/>
    <w:rsid w:val="00F2468B"/>
    <w:rsid w:val="00F24968"/>
    <w:rsid w:val="00F24B40"/>
    <w:rsid w:val="00F24C3B"/>
    <w:rsid w:val="00F24F86"/>
    <w:rsid w:val="00F25645"/>
    <w:rsid w:val="00F26397"/>
    <w:rsid w:val="00F26525"/>
    <w:rsid w:val="00F2686F"/>
    <w:rsid w:val="00F26A51"/>
    <w:rsid w:val="00F26EF7"/>
    <w:rsid w:val="00F2701F"/>
    <w:rsid w:val="00F2709B"/>
    <w:rsid w:val="00F274B8"/>
    <w:rsid w:val="00F2767A"/>
    <w:rsid w:val="00F27D97"/>
    <w:rsid w:val="00F3014C"/>
    <w:rsid w:val="00F30606"/>
    <w:rsid w:val="00F31147"/>
    <w:rsid w:val="00F3135B"/>
    <w:rsid w:val="00F31E34"/>
    <w:rsid w:val="00F320AD"/>
    <w:rsid w:val="00F321AF"/>
    <w:rsid w:val="00F32404"/>
    <w:rsid w:val="00F333F2"/>
    <w:rsid w:val="00F333FB"/>
    <w:rsid w:val="00F3353F"/>
    <w:rsid w:val="00F33765"/>
    <w:rsid w:val="00F33F48"/>
    <w:rsid w:val="00F340C0"/>
    <w:rsid w:val="00F34100"/>
    <w:rsid w:val="00F3497A"/>
    <w:rsid w:val="00F34B2C"/>
    <w:rsid w:val="00F34BDC"/>
    <w:rsid w:val="00F34D18"/>
    <w:rsid w:val="00F34D32"/>
    <w:rsid w:val="00F34DC3"/>
    <w:rsid w:val="00F3522B"/>
    <w:rsid w:val="00F35685"/>
    <w:rsid w:val="00F35910"/>
    <w:rsid w:val="00F36077"/>
    <w:rsid w:val="00F361C7"/>
    <w:rsid w:val="00F361E3"/>
    <w:rsid w:val="00F364F1"/>
    <w:rsid w:val="00F36942"/>
    <w:rsid w:val="00F36B29"/>
    <w:rsid w:val="00F36F52"/>
    <w:rsid w:val="00F36FC2"/>
    <w:rsid w:val="00F37185"/>
    <w:rsid w:val="00F379EC"/>
    <w:rsid w:val="00F4009A"/>
    <w:rsid w:val="00F405EB"/>
    <w:rsid w:val="00F40B7F"/>
    <w:rsid w:val="00F40FF9"/>
    <w:rsid w:val="00F410CD"/>
    <w:rsid w:val="00F4123B"/>
    <w:rsid w:val="00F41403"/>
    <w:rsid w:val="00F41460"/>
    <w:rsid w:val="00F4220E"/>
    <w:rsid w:val="00F42490"/>
    <w:rsid w:val="00F42853"/>
    <w:rsid w:val="00F42A45"/>
    <w:rsid w:val="00F42A6F"/>
    <w:rsid w:val="00F4309A"/>
    <w:rsid w:val="00F43160"/>
    <w:rsid w:val="00F4349B"/>
    <w:rsid w:val="00F43F9E"/>
    <w:rsid w:val="00F44765"/>
    <w:rsid w:val="00F4499C"/>
    <w:rsid w:val="00F44E21"/>
    <w:rsid w:val="00F44FAE"/>
    <w:rsid w:val="00F457C6"/>
    <w:rsid w:val="00F45898"/>
    <w:rsid w:val="00F4598A"/>
    <w:rsid w:val="00F45A64"/>
    <w:rsid w:val="00F45BEA"/>
    <w:rsid w:val="00F45E0E"/>
    <w:rsid w:val="00F45E51"/>
    <w:rsid w:val="00F46086"/>
    <w:rsid w:val="00F4657F"/>
    <w:rsid w:val="00F4658E"/>
    <w:rsid w:val="00F467C0"/>
    <w:rsid w:val="00F47F9F"/>
    <w:rsid w:val="00F501CF"/>
    <w:rsid w:val="00F50394"/>
    <w:rsid w:val="00F503C4"/>
    <w:rsid w:val="00F50551"/>
    <w:rsid w:val="00F5069A"/>
    <w:rsid w:val="00F511DB"/>
    <w:rsid w:val="00F51633"/>
    <w:rsid w:val="00F516D4"/>
    <w:rsid w:val="00F522B2"/>
    <w:rsid w:val="00F539F5"/>
    <w:rsid w:val="00F54916"/>
    <w:rsid w:val="00F54E9A"/>
    <w:rsid w:val="00F54F7B"/>
    <w:rsid w:val="00F5546E"/>
    <w:rsid w:val="00F5595B"/>
    <w:rsid w:val="00F55D72"/>
    <w:rsid w:val="00F55D91"/>
    <w:rsid w:val="00F55FAA"/>
    <w:rsid w:val="00F56378"/>
    <w:rsid w:val="00F56462"/>
    <w:rsid w:val="00F568B5"/>
    <w:rsid w:val="00F569E5"/>
    <w:rsid w:val="00F575E0"/>
    <w:rsid w:val="00F57702"/>
    <w:rsid w:val="00F57D1C"/>
    <w:rsid w:val="00F60162"/>
    <w:rsid w:val="00F60276"/>
    <w:rsid w:val="00F604FC"/>
    <w:rsid w:val="00F605E4"/>
    <w:rsid w:val="00F6063D"/>
    <w:rsid w:val="00F6081B"/>
    <w:rsid w:val="00F609D6"/>
    <w:rsid w:val="00F60A0C"/>
    <w:rsid w:val="00F60B78"/>
    <w:rsid w:val="00F6222E"/>
    <w:rsid w:val="00F628E2"/>
    <w:rsid w:val="00F62C5A"/>
    <w:rsid w:val="00F62D8B"/>
    <w:rsid w:val="00F62FF4"/>
    <w:rsid w:val="00F63585"/>
    <w:rsid w:val="00F64344"/>
    <w:rsid w:val="00F64706"/>
    <w:rsid w:val="00F64CBC"/>
    <w:rsid w:val="00F64DB1"/>
    <w:rsid w:val="00F64FC1"/>
    <w:rsid w:val="00F6536A"/>
    <w:rsid w:val="00F6551F"/>
    <w:rsid w:val="00F65756"/>
    <w:rsid w:val="00F662D6"/>
    <w:rsid w:val="00F6633C"/>
    <w:rsid w:val="00F663B9"/>
    <w:rsid w:val="00F666FA"/>
    <w:rsid w:val="00F67065"/>
    <w:rsid w:val="00F67581"/>
    <w:rsid w:val="00F67F45"/>
    <w:rsid w:val="00F67F4E"/>
    <w:rsid w:val="00F70062"/>
    <w:rsid w:val="00F70B17"/>
    <w:rsid w:val="00F7121A"/>
    <w:rsid w:val="00F71390"/>
    <w:rsid w:val="00F7164A"/>
    <w:rsid w:val="00F71D97"/>
    <w:rsid w:val="00F71F9F"/>
    <w:rsid w:val="00F7256D"/>
    <w:rsid w:val="00F7296D"/>
    <w:rsid w:val="00F72E69"/>
    <w:rsid w:val="00F72F34"/>
    <w:rsid w:val="00F735C4"/>
    <w:rsid w:val="00F73B24"/>
    <w:rsid w:val="00F73B89"/>
    <w:rsid w:val="00F741E3"/>
    <w:rsid w:val="00F742B0"/>
    <w:rsid w:val="00F74761"/>
    <w:rsid w:val="00F74B8A"/>
    <w:rsid w:val="00F74DC6"/>
    <w:rsid w:val="00F7591C"/>
    <w:rsid w:val="00F75945"/>
    <w:rsid w:val="00F75B08"/>
    <w:rsid w:val="00F75D52"/>
    <w:rsid w:val="00F76140"/>
    <w:rsid w:val="00F76419"/>
    <w:rsid w:val="00F7651A"/>
    <w:rsid w:val="00F76556"/>
    <w:rsid w:val="00F76903"/>
    <w:rsid w:val="00F76C0E"/>
    <w:rsid w:val="00F76D86"/>
    <w:rsid w:val="00F7702C"/>
    <w:rsid w:val="00F7747E"/>
    <w:rsid w:val="00F80346"/>
    <w:rsid w:val="00F805CD"/>
    <w:rsid w:val="00F8070C"/>
    <w:rsid w:val="00F80D61"/>
    <w:rsid w:val="00F80F5E"/>
    <w:rsid w:val="00F81157"/>
    <w:rsid w:val="00F81466"/>
    <w:rsid w:val="00F81AA6"/>
    <w:rsid w:val="00F81FC6"/>
    <w:rsid w:val="00F820B1"/>
    <w:rsid w:val="00F821E8"/>
    <w:rsid w:val="00F8239B"/>
    <w:rsid w:val="00F8273E"/>
    <w:rsid w:val="00F82746"/>
    <w:rsid w:val="00F82A16"/>
    <w:rsid w:val="00F82ADE"/>
    <w:rsid w:val="00F82F03"/>
    <w:rsid w:val="00F830D7"/>
    <w:rsid w:val="00F83197"/>
    <w:rsid w:val="00F831A1"/>
    <w:rsid w:val="00F8361E"/>
    <w:rsid w:val="00F84389"/>
    <w:rsid w:val="00F8444D"/>
    <w:rsid w:val="00F845D1"/>
    <w:rsid w:val="00F84827"/>
    <w:rsid w:val="00F8484B"/>
    <w:rsid w:val="00F8492A"/>
    <w:rsid w:val="00F84C6B"/>
    <w:rsid w:val="00F85659"/>
    <w:rsid w:val="00F856C7"/>
    <w:rsid w:val="00F859C5"/>
    <w:rsid w:val="00F85F6D"/>
    <w:rsid w:val="00F863D6"/>
    <w:rsid w:val="00F86716"/>
    <w:rsid w:val="00F869AA"/>
    <w:rsid w:val="00F869F9"/>
    <w:rsid w:val="00F86ACE"/>
    <w:rsid w:val="00F86AF0"/>
    <w:rsid w:val="00F86BB1"/>
    <w:rsid w:val="00F86C2D"/>
    <w:rsid w:val="00F86E98"/>
    <w:rsid w:val="00F87205"/>
    <w:rsid w:val="00F872C4"/>
    <w:rsid w:val="00F872FA"/>
    <w:rsid w:val="00F874FD"/>
    <w:rsid w:val="00F8788E"/>
    <w:rsid w:val="00F8791B"/>
    <w:rsid w:val="00F87F8B"/>
    <w:rsid w:val="00F87FA0"/>
    <w:rsid w:val="00F90027"/>
    <w:rsid w:val="00F90482"/>
    <w:rsid w:val="00F90F2F"/>
    <w:rsid w:val="00F910AE"/>
    <w:rsid w:val="00F91C70"/>
    <w:rsid w:val="00F91CD7"/>
    <w:rsid w:val="00F92E29"/>
    <w:rsid w:val="00F93234"/>
    <w:rsid w:val="00F93403"/>
    <w:rsid w:val="00F93657"/>
    <w:rsid w:val="00F9365F"/>
    <w:rsid w:val="00F93691"/>
    <w:rsid w:val="00F93CB6"/>
    <w:rsid w:val="00F940B2"/>
    <w:rsid w:val="00F94122"/>
    <w:rsid w:val="00F94181"/>
    <w:rsid w:val="00F94571"/>
    <w:rsid w:val="00F9463F"/>
    <w:rsid w:val="00F947E7"/>
    <w:rsid w:val="00F948BD"/>
    <w:rsid w:val="00F948D3"/>
    <w:rsid w:val="00F94FDD"/>
    <w:rsid w:val="00F95358"/>
    <w:rsid w:val="00F95B79"/>
    <w:rsid w:val="00F95CE9"/>
    <w:rsid w:val="00F95F6D"/>
    <w:rsid w:val="00F95FE1"/>
    <w:rsid w:val="00F96838"/>
    <w:rsid w:val="00F96BFE"/>
    <w:rsid w:val="00F96F6F"/>
    <w:rsid w:val="00FA014C"/>
    <w:rsid w:val="00FA02DA"/>
    <w:rsid w:val="00FA05F4"/>
    <w:rsid w:val="00FA0917"/>
    <w:rsid w:val="00FA0D02"/>
    <w:rsid w:val="00FA1285"/>
    <w:rsid w:val="00FA1672"/>
    <w:rsid w:val="00FA1CFB"/>
    <w:rsid w:val="00FA1F05"/>
    <w:rsid w:val="00FA2836"/>
    <w:rsid w:val="00FA2A81"/>
    <w:rsid w:val="00FA2C06"/>
    <w:rsid w:val="00FA2D89"/>
    <w:rsid w:val="00FA2DD0"/>
    <w:rsid w:val="00FA30A8"/>
    <w:rsid w:val="00FA31AB"/>
    <w:rsid w:val="00FA330B"/>
    <w:rsid w:val="00FA354D"/>
    <w:rsid w:val="00FA36A7"/>
    <w:rsid w:val="00FA3965"/>
    <w:rsid w:val="00FA3A32"/>
    <w:rsid w:val="00FA3FD8"/>
    <w:rsid w:val="00FA4261"/>
    <w:rsid w:val="00FA4C66"/>
    <w:rsid w:val="00FA4C8C"/>
    <w:rsid w:val="00FA57B8"/>
    <w:rsid w:val="00FA5A84"/>
    <w:rsid w:val="00FA5B62"/>
    <w:rsid w:val="00FA5B83"/>
    <w:rsid w:val="00FA5E48"/>
    <w:rsid w:val="00FA6136"/>
    <w:rsid w:val="00FA75A5"/>
    <w:rsid w:val="00FA7635"/>
    <w:rsid w:val="00FA76B3"/>
    <w:rsid w:val="00FA76C2"/>
    <w:rsid w:val="00FA7BD3"/>
    <w:rsid w:val="00FA7CE3"/>
    <w:rsid w:val="00FA7F2A"/>
    <w:rsid w:val="00FB0031"/>
    <w:rsid w:val="00FB00C9"/>
    <w:rsid w:val="00FB03B5"/>
    <w:rsid w:val="00FB03C4"/>
    <w:rsid w:val="00FB042D"/>
    <w:rsid w:val="00FB07BE"/>
    <w:rsid w:val="00FB0907"/>
    <w:rsid w:val="00FB0991"/>
    <w:rsid w:val="00FB0DBB"/>
    <w:rsid w:val="00FB0F19"/>
    <w:rsid w:val="00FB157D"/>
    <w:rsid w:val="00FB1B6B"/>
    <w:rsid w:val="00FB1C41"/>
    <w:rsid w:val="00FB249E"/>
    <w:rsid w:val="00FB26CE"/>
    <w:rsid w:val="00FB2B74"/>
    <w:rsid w:val="00FB30F6"/>
    <w:rsid w:val="00FB3938"/>
    <w:rsid w:val="00FB3958"/>
    <w:rsid w:val="00FB3D62"/>
    <w:rsid w:val="00FB3F50"/>
    <w:rsid w:val="00FB46A6"/>
    <w:rsid w:val="00FB4913"/>
    <w:rsid w:val="00FB4B46"/>
    <w:rsid w:val="00FB5120"/>
    <w:rsid w:val="00FB54D1"/>
    <w:rsid w:val="00FB5955"/>
    <w:rsid w:val="00FB5C08"/>
    <w:rsid w:val="00FB61F9"/>
    <w:rsid w:val="00FB62EC"/>
    <w:rsid w:val="00FB656F"/>
    <w:rsid w:val="00FB65EE"/>
    <w:rsid w:val="00FB7060"/>
    <w:rsid w:val="00FB73B7"/>
    <w:rsid w:val="00FB765A"/>
    <w:rsid w:val="00FC02AF"/>
    <w:rsid w:val="00FC0BB5"/>
    <w:rsid w:val="00FC0CE0"/>
    <w:rsid w:val="00FC0CE2"/>
    <w:rsid w:val="00FC0D5D"/>
    <w:rsid w:val="00FC0EC9"/>
    <w:rsid w:val="00FC0FE5"/>
    <w:rsid w:val="00FC108B"/>
    <w:rsid w:val="00FC19E8"/>
    <w:rsid w:val="00FC20CB"/>
    <w:rsid w:val="00FC20EE"/>
    <w:rsid w:val="00FC2C19"/>
    <w:rsid w:val="00FC2C41"/>
    <w:rsid w:val="00FC3265"/>
    <w:rsid w:val="00FC32FC"/>
    <w:rsid w:val="00FC3776"/>
    <w:rsid w:val="00FC37B5"/>
    <w:rsid w:val="00FC3CD6"/>
    <w:rsid w:val="00FC3E50"/>
    <w:rsid w:val="00FC41A7"/>
    <w:rsid w:val="00FC426D"/>
    <w:rsid w:val="00FC496A"/>
    <w:rsid w:val="00FC4B78"/>
    <w:rsid w:val="00FC516E"/>
    <w:rsid w:val="00FC5731"/>
    <w:rsid w:val="00FC589E"/>
    <w:rsid w:val="00FC5AF8"/>
    <w:rsid w:val="00FC5CAA"/>
    <w:rsid w:val="00FC5FD6"/>
    <w:rsid w:val="00FC60B0"/>
    <w:rsid w:val="00FC6384"/>
    <w:rsid w:val="00FC6389"/>
    <w:rsid w:val="00FC660D"/>
    <w:rsid w:val="00FC6ADD"/>
    <w:rsid w:val="00FC70CF"/>
    <w:rsid w:val="00FC716C"/>
    <w:rsid w:val="00FC719D"/>
    <w:rsid w:val="00FC795E"/>
    <w:rsid w:val="00FD0172"/>
    <w:rsid w:val="00FD09B0"/>
    <w:rsid w:val="00FD0AC5"/>
    <w:rsid w:val="00FD0FA5"/>
    <w:rsid w:val="00FD1DFB"/>
    <w:rsid w:val="00FD1E0C"/>
    <w:rsid w:val="00FD1EA1"/>
    <w:rsid w:val="00FD2635"/>
    <w:rsid w:val="00FD2C8D"/>
    <w:rsid w:val="00FD342A"/>
    <w:rsid w:val="00FD3541"/>
    <w:rsid w:val="00FD3CBB"/>
    <w:rsid w:val="00FD41E3"/>
    <w:rsid w:val="00FD4487"/>
    <w:rsid w:val="00FD4672"/>
    <w:rsid w:val="00FD4B44"/>
    <w:rsid w:val="00FD5156"/>
    <w:rsid w:val="00FD5189"/>
    <w:rsid w:val="00FD553B"/>
    <w:rsid w:val="00FD55EC"/>
    <w:rsid w:val="00FD5BFE"/>
    <w:rsid w:val="00FD5CAB"/>
    <w:rsid w:val="00FD5ECB"/>
    <w:rsid w:val="00FD6126"/>
    <w:rsid w:val="00FD62F1"/>
    <w:rsid w:val="00FD65D9"/>
    <w:rsid w:val="00FD68E3"/>
    <w:rsid w:val="00FD6A33"/>
    <w:rsid w:val="00FD6A52"/>
    <w:rsid w:val="00FD6B5C"/>
    <w:rsid w:val="00FD6B76"/>
    <w:rsid w:val="00FD719E"/>
    <w:rsid w:val="00FD71AC"/>
    <w:rsid w:val="00FD7943"/>
    <w:rsid w:val="00FE07BB"/>
    <w:rsid w:val="00FE08CE"/>
    <w:rsid w:val="00FE0ABB"/>
    <w:rsid w:val="00FE0BB3"/>
    <w:rsid w:val="00FE0CBA"/>
    <w:rsid w:val="00FE0EDE"/>
    <w:rsid w:val="00FE10F0"/>
    <w:rsid w:val="00FE123C"/>
    <w:rsid w:val="00FE1726"/>
    <w:rsid w:val="00FE1CA6"/>
    <w:rsid w:val="00FE215B"/>
    <w:rsid w:val="00FE2F68"/>
    <w:rsid w:val="00FE32FC"/>
    <w:rsid w:val="00FE3353"/>
    <w:rsid w:val="00FE3D5A"/>
    <w:rsid w:val="00FE41A8"/>
    <w:rsid w:val="00FE48F9"/>
    <w:rsid w:val="00FE4C68"/>
    <w:rsid w:val="00FE535D"/>
    <w:rsid w:val="00FE63CB"/>
    <w:rsid w:val="00FE648A"/>
    <w:rsid w:val="00FE65D6"/>
    <w:rsid w:val="00FE6BE8"/>
    <w:rsid w:val="00FE6CCF"/>
    <w:rsid w:val="00FE77AC"/>
    <w:rsid w:val="00FE7A91"/>
    <w:rsid w:val="00FE7ED4"/>
    <w:rsid w:val="00FF053B"/>
    <w:rsid w:val="00FF0864"/>
    <w:rsid w:val="00FF0A57"/>
    <w:rsid w:val="00FF0B3F"/>
    <w:rsid w:val="00FF0C11"/>
    <w:rsid w:val="00FF14D7"/>
    <w:rsid w:val="00FF17B3"/>
    <w:rsid w:val="00FF18BE"/>
    <w:rsid w:val="00FF1CB8"/>
    <w:rsid w:val="00FF231D"/>
    <w:rsid w:val="00FF2496"/>
    <w:rsid w:val="00FF4080"/>
    <w:rsid w:val="00FF40BD"/>
    <w:rsid w:val="00FF46AB"/>
    <w:rsid w:val="00FF4941"/>
    <w:rsid w:val="00FF4E8D"/>
    <w:rsid w:val="00FF4F64"/>
    <w:rsid w:val="00FF501F"/>
    <w:rsid w:val="00FF51B7"/>
    <w:rsid w:val="00FF51B8"/>
    <w:rsid w:val="00FF52AB"/>
    <w:rsid w:val="00FF5309"/>
    <w:rsid w:val="00FF5B71"/>
    <w:rsid w:val="00FF5C03"/>
    <w:rsid w:val="00FF5DAA"/>
    <w:rsid w:val="00FF62E0"/>
    <w:rsid w:val="00FF6371"/>
    <w:rsid w:val="00FF65A7"/>
    <w:rsid w:val="00FF6617"/>
    <w:rsid w:val="00FF6757"/>
    <w:rsid w:val="00FF6B3C"/>
    <w:rsid w:val="00FF71DC"/>
    <w:rsid w:val="00FF7B95"/>
    <w:rsid w:val="00FF7D43"/>
    <w:rsid w:val="01433C76"/>
    <w:rsid w:val="036D81DB"/>
    <w:rsid w:val="04A1598C"/>
    <w:rsid w:val="050C16D6"/>
    <w:rsid w:val="0560CBA5"/>
    <w:rsid w:val="0672E2A4"/>
    <w:rsid w:val="0750E0D4"/>
    <w:rsid w:val="078D4FFA"/>
    <w:rsid w:val="08BE26EF"/>
    <w:rsid w:val="09E1939A"/>
    <w:rsid w:val="0B20B694"/>
    <w:rsid w:val="0B2963A8"/>
    <w:rsid w:val="0B2D915E"/>
    <w:rsid w:val="0BD6BCA3"/>
    <w:rsid w:val="0BDF99A3"/>
    <w:rsid w:val="0C1A0488"/>
    <w:rsid w:val="0C937840"/>
    <w:rsid w:val="0EF97449"/>
    <w:rsid w:val="0FA54C46"/>
    <w:rsid w:val="106DB1E6"/>
    <w:rsid w:val="10894F75"/>
    <w:rsid w:val="10D7D2BA"/>
    <w:rsid w:val="110FAB61"/>
    <w:rsid w:val="1112E85B"/>
    <w:rsid w:val="113D1B19"/>
    <w:rsid w:val="11490D45"/>
    <w:rsid w:val="12377D1C"/>
    <w:rsid w:val="12B0C80E"/>
    <w:rsid w:val="1325D54D"/>
    <w:rsid w:val="137D6A2E"/>
    <w:rsid w:val="139E6B67"/>
    <w:rsid w:val="13AFD280"/>
    <w:rsid w:val="1677890E"/>
    <w:rsid w:val="1709E17F"/>
    <w:rsid w:val="178E4B1F"/>
    <w:rsid w:val="17909855"/>
    <w:rsid w:val="183E771C"/>
    <w:rsid w:val="1A0D51FF"/>
    <w:rsid w:val="1A31393D"/>
    <w:rsid w:val="1A31C505"/>
    <w:rsid w:val="1A7B0B09"/>
    <w:rsid w:val="1C816D7D"/>
    <w:rsid w:val="1DB315E7"/>
    <w:rsid w:val="1DBCEF98"/>
    <w:rsid w:val="1DCE8E72"/>
    <w:rsid w:val="1E99A89C"/>
    <w:rsid w:val="1F504152"/>
    <w:rsid w:val="20BE52B8"/>
    <w:rsid w:val="20E52EE5"/>
    <w:rsid w:val="21468A7E"/>
    <w:rsid w:val="21C7B9ED"/>
    <w:rsid w:val="21F8015A"/>
    <w:rsid w:val="22518AA5"/>
    <w:rsid w:val="227A04E8"/>
    <w:rsid w:val="22B4669E"/>
    <w:rsid w:val="23369E19"/>
    <w:rsid w:val="2359D34A"/>
    <w:rsid w:val="251B2D66"/>
    <w:rsid w:val="2544DA0B"/>
    <w:rsid w:val="2641C0E1"/>
    <w:rsid w:val="26D043C2"/>
    <w:rsid w:val="2908BA8D"/>
    <w:rsid w:val="295F82BD"/>
    <w:rsid w:val="2A9C4E66"/>
    <w:rsid w:val="2B2C2B6A"/>
    <w:rsid w:val="2B60D228"/>
    <w:rsid w:val="2BF38C7C"/>
    <w:rsid w:val="2C075C91"/>
    <w:rsid w:val="2CCC448F"/>
    <w:rsid w:val="2CD932B8"/>
    <w:rsid w:val="2CE01669"/>
    <w:rsid w:val="2DA10DB7"/>
    <w:rsid w:val="2DDCF23A"/>
    <w:rsid w:val="2E702584"/>
    <w:rsid w:val="2E8EC18A"/>
    <w:rsid w:val="2EBF6E01"/>
    <w:rsid w:val="304C1073"/>
    <w:rsid w:val="30666947"/>
    <w:rsid w:val="311D33CC"/>
    <w:rsid w:val="31229BBD"/>
    <w:rsid w:val="3224DC45"/>
    <w:rsid w:val="332C601D"/>
    <w:rsid w:val="34025BBD"/>
    <w:rsid w:val="347851D3"/>
    <w:rsid w:val="34977FCA"/>
    <w:rsid w:val="349B9779"/>
    <w:rsid w:val="34B34F59"/>
    <w:rsid w:val="34EA51C8"/>
    <w:rsid w:val="37E2C5CC"/>
    <w:rsid w:val="3924C417"/>
    <w:rsid w:val="3A60BE9E"/>
    <w:rsid w:val="3A9A3753"/>
    <w:rsid w:val="3BBD5AA9"/>
    <w:rsid w:val="3C2B88FA"/>
    <w:rsid w:val="3D3DFF07"/>
    <w:rsid w:val="3E489260"/>
    <w:rsid w:val="3EB9D1FA"/>
    <w:rsid w:val="3F42E24E"/>
    <w:rsid w:val="40DA2642"/>
    <w:rsid w:val="40DFE1A7"/>
    <w:rsid w:val="40F750A8"/>
    <w:rsid w:val="412923F9"/>
    <w:rsid w:val="4189703A"/>
    <w:rsid w:val="4194EEA2"/>
    <w:rsid w:val="41BAA541"/>
    <w:rsid w:val="42604D22"/>
    <w:rsid w:val="43C2E272"/>
    <w:rsid w:val="451C9CCF"/>
    <w:rsid w:val="4633840C"/>
    <w:rsid w:val="4681B990"/>
    <w:rsid w:val="4683DC9F"/>
    <w:rsid w:val="47AAAAB0"/>
    <w:rsid w:val="481C9275"/>
    <w:rsid w:val="48517DED"/>
    <w:rsid w:val="48A92BA3"/>
    <w:rsid w:val="48E3A560"/>
    <w:rsid w:val="4FEB1B43"/>
    <w:rsid w:val="50AC6950"/>
    <w:rsid w:val="510014C6"/>
    <w:rsid w:val="5126D763"/>
    <w:rsid w:val="51564ECD"/>
    <w:rsid w:val="521E69DF"/>
    <w:rsid w:val="529BE2AD"/>
    <w:rsid w:val="52C2A812"/>
    <w:rsid w:val="538A0922"/>
    <w:rsid w:val="542068F9"/>
    <w:rsid w:val="544FEB28"/>
    <w:rsid w:val="54FFFBF2"/>
    <w:rsid w:val="55D5729F"/>
    <w:rsid w:val="56FA1866"/>
    <w:rsid w:val="57A5B2D5"/>
    <w:rsid w:val="57E19243"/>
    <w:rsid w:val="587F9EFD"/>
    <w:rsid w:val="5959140F"/>
    <w:rsid w:val="5A1CA6F5"/>
    <w:rsid w:val="5A4F689C"/>
    <w:rsid w:val="5BE072C7"/>
    <w:rsid w:val="5DAE1326"/>
    <w:rsid w:val="5F8989C8"/>
    <w:rsid w:val="6026640B"/>
    <w:rsid w:val="605F09BA"/>
    <w:rsid w:val="606C90E5"/>
    <w:rsid w:val="6091D27F"/>
    <w:rsid w:val="6155B5E5"/>
    <w:rsid w:val="61799041"/>
    <w:rsid w:val="61C3783E"/>
    <w:rsid w:val="623B656D"/>
    <w:rsid w:val="626EDE04"/>
    <w:rsid w:val="6439D396"/>
    <w:rsid w:val="64A350BC"/>
    <w:rsid w:val="64A6766F"/>
    <w:rsid w:val="64C6A6D2"/>
    <w:rsid w:val="65037A6B"/>
    <w:rsid w:val="658337C8"/>
    <w:rsid w:val="65D9BAED"/>
    <w:rsid w:val="65E7E986"/>
    <w:rsid w:val="6618E7AB"/>
    <w:rsid w:val="66A701C0"/>
    <w:rsid w:val="67361169"/>
    <w:rsid w:val="67518D3F"/>
    <w:rsid w:val="67BD08D7"/>
    <w:rsid w:val="67F699D8"/>
    <w:rsid w:val="68FD1F1C"/>
    <w:rsid w:val="69C6B45B"/>
    <w:rsid w:val="69CC838C"/>
    <w:rsid w:val="69EFDF40"/>
    <w:rsid w:val="6AE25004"/>
    <w:rsid w:val="6BE7F37F"/>
    <w:rsid w:val="6C2F5036"/>
    <w:rsid w:val="6C7CFB7B"/>
    <w:rsid w:val="6D1825E3"/>
    <w:rsid w:val="6D8EF5A5"/>
    <w:rsid w:val="6DA5DCA9"/>
    <w:rsid w:val="6DB0A3EC"/>
    <w:rsid w:val="6ECDA350"/>
    <w:rsid w:val="6EEA9603"/>
    <w:rsid w:val="6EF974CC"/>
    <w:rsid w:val="6FAC2C5D"/>
    <w:rsid w:val="6FE88EAD"/>
    <w:rsid w:val="7067B75A"/>
    <w:rsid w:val="70D72D2E"/>
    <w:rsid w:val="71929622"/>
    <w:rsid w:val="72041C6F"/>
    <w:rsid w:val="721B9BA4"/>
    <w:rsid w:val="72D39707"/>
    <w:rsid w:val="738E4ADF"/>
    <w:rsid w:val="739F9242"/>
    <w:rsid w:val="73C7B135"/>
    <w:rsid w:val="73F78537"/>
    <w:rsid w:val="7658CE8F"/>
    <w:rsid w:val="76BABFF7"/>
    <w:rsid w:val="76C5265C"/>
    <w:rsid w:val="77AC1B4B"/>
    <w:rsid w:val="7842D538"/>
    <w:rsid w:val="7879D28D"/>
    <w:rsid w:val="79144D2C"/>
    <w:rsid w:val="79C2243A"/>
    <w:rsid w:val="79D22895"/>
    <w:rsid w:val="7A171785"/>
    <w:rsid w:val="7AEE51DC"/>
    <w:rsid w:val="7C9ACF15"/>
    <w:rsid w:val="7D3E4F94"/>
    <w:rsid w:val="7D54A3A9"/>
    <w:rsid w:val="7DA62B77"/>
    <w:rsid w:val="7DFF9AFB"/>
    <w:rsid w:val="7E5A5E63"/>
    <w:rsid w:val="7E7F4DE5"/>
    <w:rsid w:val="7FAB7551"/>
    <w:rsid w:val="7FD84D2E"/>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BDF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AA35DF"/>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3"/>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2"/>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6E0638"/>
    <w:rPr>
      <w:color w:val="605E5C"/>
      <w:shd w:val="clear" w:color="auto" w:fill="E1DFDD"/>
    </w:rPr>
  </w:style>
  <w:style w:type="paragraph" w:styleId="ListParagraph">
    <w:name w:val="List Paragraph"/>
    <w:basedOn w:val="Normal"/>
    <w:uiPriority w:val="34"/>
    <w:qFormat/>
    <w:rsid w:val="006E0638"/>
    <w:pPr>
      <w:spacing w:after="160" w:line="259" w:lineRule="auto"/>
      <w:ind w:left="720"/>
      <w:contextualSpacing/>
    </w:pPr>
    <w:rPr>
      <w:rFonts w:eastAsiaTheme="minorHAnsi" w:cstheme="minorBidi"/>
      <w:color w:val="auto"/>
      <w:kern w:val="2"/>
      <w:szCs w:val="22"/>
      <w14:ligatures w14:val="standardContextual"/>
    </w:rPr>
  </w:style>
  <w:style w:type="paragraph" w:styleId="FootnoteText">
    <w:name w:val="footnote text"/>
    <w:basedOn w:val="Normal"/>
    <w:link w:val="FootnoteTextChar"/>
    <w:uiPriority w:val="99"/>
    <w:unhideWhenUsed/>
    <w:rsid w:val="00456145"/>
    <w:pPr>
      <w:spacing w:after="0"/>
    </w:pPr>
    <w:rPr>
      <w:sz w:val="20"/>
      <w:szCs w:val="20"/>
    </w:rPr>
  </w:style>
  <w:style w:type="character" w:customStyle="1" w:styleId="FootnoteTextChar">
    <w:name w:val="Footnote Text Char"/>
    <w:basedOn w:val="DefaultParagraphFont"/>
    <w:link w:val="FootnoteText"/>
    <w:uiPriority w:val="99"/>
    <w:rsid w:val="00456145"/>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456145"/>
    <w:rPr>
      <w:vertAlign w:val="superscript"/>
    </w:rPr>
  </w:style>
  <w:style w:type="character" w:styleId="CommentReference">
    <w:name w:val="annotation reference"/>
    <w:basedOn w:val="DefaultParagraphFont"/>
    <w:uiPriority w:val="99"/>
    <w:unhideWhenUsed/>
    <w:rsid w:val="003F20FE"/>
    <w:rPr>
      <w:sz w:val="16"/>
      <w:szCs w:val="16"/>
    </w:rPr>
  </w:style>
  <w:style w:type="paragraph" w:styleId="CommentText">
    <w:name w:val="annotation text"/>
    <w:basedOn w:val="Normal"/>
    <w:link w:val="CommentTextChar"/>
    <w:uiPriority w:val="99"/>
    <w:unhideWhenUsed/>
    <w:rsid w:val="003F20FE"/>
    <w:pPr>
      <w:spacing w:after="160"/>
    </w:pPr>
    <w:rPr>
      <w:rFonts w:eastAsiaTheme="minorHAnsi" w:cstheme="minorBidi"/>
      <w:color w:val="auto"/>
      <w:kern w:val="2"/>
      <w:sz w:val="20"/>
      <w:szCs w:val="20"/>
      <w14:ligatures w14:val="standardContextual"/>
    </w:rPr>
  </w:style>
  <w:style w:type="character" w:customStyle="1" w:styleId="CommentTextChar">
    <w:name w:val="Comment Text Char"/>
    <w:basedOn w:val="DefaultParagraphFont"/>
    <w:link w:val="CommentText"/>
    <w:uiPriority w:val="99"/>
    <w:rsid w:val="003F20FE"/>
    <w:rPr>
      <w:rFonts w:asciiTheme="minorHAnsi" w:eastAsiaTheme="minorHAnsi" w:hAnsiTheme="minorHAnsi" w:cstheme="minorBidi"/>
      <w:kern w:val="2"/>
      <w:lang w:eastAsia="en-US"/>
      <w14:ligatures w14:val="standardContextual"/>
    </w:rPr>
  </w:style>
  <w:style w:type="paragraph" w:styleId="CommentSubject">
    <w:name w:val="annotation subject"/>
    <w:basedOn w:val="CommentText"/>
    <w:next w:val="CommentText"/>
    <w:link w:val="CommentSubjectChar"/>
    <w:uiPriority w:val="99"/>
    <w:semiHidden/>
    <w:unhideWhenUsed/>
    <w:rsid w:val="004B0908"/>
    <w:pPr>
      <w:spacing w:after="200"/>
    </w:pPr>
    <w:rPr>
      <w:rFonts w:eastAsia="Cambria" w:cstheme="minorHAnsi"/>
      <w:b/>
      <w:bCs/>
      <w:color w:val="000000" w:themeColor="text1"/>
      <w:kern w:val="0"/>
      <w14:ligatures w14:val="none"/>
    </w:rPr>
  </w:style>
  <w:style w:type="character" w:customStyle="1" w:styleId="CommentSubjectChar">
    <w:name w:val="Comment Subject Char"/>
    <w:basedOn w:val="CommentTextChar"/>
    <w:link w:val="CommentSubject"/>
    <w:uiPriority w:val="99"/>
    <w:semiHidden/>
    <w:rsid w:val="004B0908"/>
    <w:rPr>
      <w:rFonts w:asciiTheme="minorHAnsi" w:eastAsiaTheme="minorHAnsi" w:hAnsiTheme="minorHAnsi" w:cstheme="minorHAnsi"/>
      <w:b/>
      <w:bCs/>
      <w:color w:val="000000" w:themeColor="text1"/>
      <w:kern w:val="2"/>
      <w:lang w:eastAsia="en-US"/>
      <w14:ligatures w14:val="standardContextual"/>
    </w:rPr>
  </w:style>
  <w:style w:type="paragraph" w:styleId="Revision">
    <w:name w:val="Revision"/>
    <w:hidden/>
    <w:semiHidden/>
    <w:rsid w:val="000A7D0D"/>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B01340"/>
    <w:rPr>
      <w:color w:val="2B579A"/>
      <w:shd w:val="clear" w:color="auto" w:fill="E1DFDD"/>
    </w:rPr>
  </w:style>
  <w:style w:type="paragraph" w:customStyle="1" w:styleId="Default">
    <w:name w:val="Default"/>
    <w:rsid w:val="009F0701"/>
    <w:pPr>
      <w:autoSpaceDE w:val="0"/>
      <w:autoSpaceDN w:val="0"/>
      <w:adjustRightInd w:val="0"/>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433647"/>
    <w:pPr>
      <w:spacing w:after="0"/>
    </w:pPr>
    <w:rPr>
      <w:sz w:val="20"/>
      <w:szCs w:val="20"/>
    </w:rPr>
  </w:style>
  <w:style w:type="character" w:customStyle="1" w:styleId="EndnoteTextChar">
    <w:name w:val="Endnote Text Char"/>
    <w:basedOn w:val="DefaultParagraphFont"/>
    <w:link w:val="EndnoteText"/>
    <w:uiPriority w:val="99"/>
    <w:semiHidden/>
    <w:rsid w:val="00433647"/>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4336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dcceew.gov.au/climate-change/emissions-reporting/national-greenhouse-energy-reporting-scheme/safeguard-mechanism/overview" TargetMode="External"/><Relationship Id="rId18" Type="http://schemas.openxmlformats.org/officeDocument/2006/relationships/hyperlink" Target="https://cer.gov.au/schemes/safeguard-mechanism/safeguard-baselines" TargetMode="External"/><Relationship Id="rId26" Type="http://schemas.openxmlformats.org/officeDocument/2006/relationships/hyperlink" Target="https://cer.gov.au/markets/reports-and-data/safeguard-data/2024-25-baselines-and-emissions-data" TargetMode="External"/><Relationship Id="rId39" Type="http://schemas.openxmlformats.org/officeDocument/2006/relationships/image" Target="media/image11.svg"/><Relationship Id="rId21" Type="http://schemas.openxmlformats.org/officeDocument/2006/relationships/hyperlink" Target="https://cer.gov.au/markets/reports-and-data/safeguard-data/2024-25-baselines-and-emissions-data" TargetMode="External"/><Relationship Id="rId34" Type="http://schemas.openxmlformats.org/officeDocument/2006/relationships/hyperlink" Target="https://cer.gov.au/markets/reports-and-data/safeguard-data/multi-year-monitoring-period-data"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cer.gov.au/markets/reports-and-data/safeguard-data/2024-25-baselines-and-emissions-data"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gov.au/schemes/safeguard-mechanism/managing-excess-emissions" TargetMode="External"/><Relationship Id="rId24" Type="http://schemas.openxmlformats.org/officeDocument/2006/relationships/hyperlink" Target="https://cer.gov.au/markets/reports-and-data/quarterly-carbon-market-reports" TargetMode="External"/><Relationship Id="rId32" Type="http://schemas.openxmlformats.org/officeDocument/2006/relationships/hyperlink" Target="https://cer.gov.au/markets/reports-and-data/safeguard-data/trade-exposed-baseline-adjusted-facility-data" TargetMode="External"/><Relationship Id="rId37" Type="http://schemas.openxmlformats.org/officeDocument/2006/relationships/hyperlink" Target="https://business.gov.au/grants-and-programs/powering-the-regions-fund-safeguard-transformation-stream-round-2"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cer.gov.au/about-us/our-compliance-approach/compliance-and-enforcement-priorities/compliance-and-enforcement-priorities-2025-26" TargetMode="External"/><Relationship Id="rId23" Type="http://schemas.openxmlformats.org/officeDocument/2006/relationships/image" Target="media/image5.svg"/><Relationship Id="rId28" Type="http://schemas.openxmlformats.org/officeDocument/2006/relationships/image" Target="media/image7.svg"/><Relationship Id="rId36" Type="http://schemas.openxmlformats.org/officeDocument/2006/relationships/hyperlink" Target="https://cer.gov.au/markets/reports-and-data/safeguard-data/2024-25-baselines-and-emissions-data" TargetMode="External"/><Relationship Id="rId10" Type="http://schemas.openxmlformats.org/officeDocument/2006/relationships/hyperlink" Target="https://cer.gov.au/markets/reports-and-data/safeguard-data/" TargetMode="External"/><Relationship Id="rId19" Type="http://schemas.openxmlformats.org/officeDocument/2006/relationships/image" Target="media/image2.png"/><Relationship Id="rId31" Type="http://schemas.openxmlformats.org/officeDocument/2006/relationships/hyperlink" Target="https://cer.gov.au/markets/reports-and-data/safeguard-data/2024-25-baselines-and-emissions-data" TargetMode="External"/><Relationship Id="rId44"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er.gov.au/schemes/safeguard-mechanism/managing-excess-emissions/excess-emissions-situation-data" TargetMode="External"/><Relationship Id="rId22" Type="http://schemas.openxmlformats.org/officeDocument/2006/relationships/image" Target="media/image4.png"/><Relationship Id="rId27" Type="http://schemas.openxmlformats.org/officeDocument/2006/relationships/image" Target="media/image6.png"/><Relationship Id="rId30" Type="http://schemas.openxmlformats.org/officeDocument/2006/relationships/image" Target="media/image9.svg"/><Relationship Id="rId35" Type="http://schemas.openxmlformats.org/officeDocument/2006/relationships/hyperlink" Target="https://cer.gov.au/markets/reports-and-data/safeguard-data/multi-year-monitoring-period-data" TargetMode="External"/><Relationship Id="rId43"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cer.gov.au/about-us/our-compliance-approach/compliance-and-enforcement-priorities/compliance-and-enforcement-priorities-2025-26" TargetMode="External"/><Relationship Id="rId17" Type="http://schemas.openxmlformats.org/officeDocument/2006/relationships/hyperlink" Target="https://cer.gov.au/markets/reports-and-data/safeguard-data/emissions-intensity-determination-data" TargetMode="External"/><Relationship Id="rId25" Type="http://schemas.openxmlformats.org/officeDocument/2006/relationships/hyperlink" Target="https://cer.gov.au/markets/reports-and-data/safeguard-data/2024-25-baselines-and-emissions-data" TargetMode="External"/><Relationship Id="rId33" Type="http://schemas.openxmlformats.org/officeDocument/2006/relationships/hyperlink" Target="https://cer.gov.au/markets/reports-and-data/safeguard-data/multi-year-monitoring-period-data" TargetMode="External"/><Relationship Id="rId38" Type="http://schemas.openxmlformats.org/officeDocument/2006/relationships/image" Target="media/image10.png"/><Relationship Id="rId46" Type="http://schemas.openxmlformats.org/officeDocument/2006/relationships/fontTable" Target="fontTable.xml"/><Relationship Id="rId20" Type="http://schemas.openxmlformats.org/officeDocument/2006/relationships/image" Target="media/image3.svg"/><Relationship Id="rId41"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68097C-01F1-4DCD-83C2-4FE33976C32D}">
  <ds:schemaRefs>
    <ds:schemaRef ds:uri="http://schemas.openxmlformats.org/officeDocument/2006/bibliography"/>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4198</Words>
  <Characters>23893</Characters>
  <Application>Microsoft Office Word</Application>
  <DocSecurity>0</DocSecurity>
  <Lines>385</Lines>
  <Paragraphs>208</Paragraphs>
  <ScaleCrop>false</ScaleCrop>
  <HeadingPairs>
    <vt:vector size="2" baseType="variant">
      <vt:variant>
        <vt:lpstr>Title</vt:lpstr>
      </vt:variant>
      <vt:variant>
        <vt:i4>1</vt:i4>
      </vt:variant>
    </vt:vector>
  </HeadingPairs>
  <TitlesOfParts>
    <vt:vector size="1" baseType="lpstr">
      <vt:lpstr>2024–25 Safeguard Mechanism Data Insights</vt:lpstr>
    </vt:vector>
  </TitlesOfParts>
  <Company/>
  <LinksUpToDate>false</LinksUpToDate>
  <CharactersWithSpaces>27883</CharactersWithSpaces>
  <SharedDoc>false</SharedDoc>
  <HLinks>
    <vt:vector size="210" baseType="variant">
      <vt:variant>
        <vt:i4>1638490</vt:i4>
      </vt:variant>
      <vt:variant>
        <vt:i4>144</vt:i4>
      </vt:variant>
      <vt:variant>
        <vt:i4>0</vt:i4>
      </vt:variant>
      <vt:variant>
        <vt:i4>5</vt:i4>
      </vt:variant>
      <vt:variant>
        <vt:lpwstr>https://business.gov.au/grants-and-programs/powering-the-regions-fund-safeguard-transformation-stream-round-2</vt:lpwstr>
      </vt:variant>
      <vt:variant>
        <vt:lpwstr/>
      </vt:variant>
      <vt:variant>
        <vt:i4>2162751</vt:i4>
      </vt:variant>
      <vt:variant>
        <vt:i4>141</vt:i4>
      </vt:variant>
      <vt:variant>
        <vt:i4>0</vt:i4>
      </vt:variant>
      <vt:variant>
        <vt:i4>5</vt:i4>
      </vt:variant>
      <vt:variant>
        <vt:lpwstr>https://cer.gov.au/markets/reports-and-data/safeguard-data/2024-25-baselines-and-emissions-data</vt:lpwstr>
      </vt:variant>
      <vt:variant>
        <vt:lpwstr>baselines-and-emissions-table</vt:lpwstr>
      </vt:variant>
      <vt:variant>
        <vt:i4>2162751</vt:i4>
      </vt:variant>
      <vt:variant>
        <vt:i4>138</vt:i4>
      </vt:variant>
      <vt:variant>
        <vt:i4>0</vt:i4>
      </vt:variant>
      <vt:variant>
        <vt:i4>5</vt:i4>
      </vt:variant>
      <vt:variant>
        <vt:lpwstr>https://cer.gov.au/markets/reports-and-data/safeguard-data/2024-25-baselines-and-emissions-data</vt:lpwstr>
      </vt:variant>
      <vt:variant>
        <vt:lpwstr>baselines-and-emissions-table</vt:lpwstr>
      </vt:variant>
      <vt:variant>
        <vt:i4>3735677</vt:i4>
      </vt:variant>
      <vt:variant>
        <vt:i4>135</vt:i4>
      </vt:variant>
      <vt:variant>
        <vt:i4>0</vt:i4>
      </vt:variant>
      <vt:variant>
        <vt:i4>5</vt:i4>
      </vt:variant>
      <vt:variant>
        <vt:lpwstr>https://cer.gov.au/markets/reports-and-data/quarterly-carbon-market-reports</vt:lpwstr>
      </vt:variant>
      <vt:variant>
        <vt:lpwstr/>
      </vt:variant>
      <vt:variant>
        <vt:i4>2162751</vt:i4>
      </vt:variant>
      <vt:variant>
        <vt:i4>132</vt:i4>
      </vt:variant>
      <vt:variant>
        <vt:i4>0</vt:i4>
      </vt:variant>
      <vt:variant>
        <vt:i4>5</vt:i4>
      </vt:variant>
      <vt:variant>
        <vt:lpwstr>https://cer.gov.au/markets/reports-and-data/safeguard-data/2024-25-baselines-and-emissions-data</vt:lpwstr>
      </vt:variant>
      <vt:variant>
        <vt:lpwstr>baselines-and-emissions-table</vt:lpwstr>
      </vt:variant>
      <vt:variant>
        <vt:i4>2097186</vt:i4>
      </vt:variant>
      <vt:variant>
        <vt:i4>129</vt:i4>
      </vt:variant>
      <vt:variant>
        <vt:i4>0</vt:i4>
      </vt:variant>
      <vt:variant>
        <vt:i4>5</vt:i4>
      </vt:variant>
      <vt:variant>
        <vt:lpwstr>https://cer.gov.au/node/4898/latest</vt:lpwstr>
      </vt:variant>
      <vt:variant>
        <vt:lpwstr/>
      </vt:variant>
      <vt:variant>
        <vt:i4>2162751</vt:i4>
      </vt:variant>
      <vt:variant>
        <vt:i4>126</vt:i4>
      </vt:variant>
      <vt:variant>
        <vt:i4>0</vt:i4>
      </vt:variant>
      <vt:variant>
        <vt:i4>5</vt:i4>
      </vt:variant>
      <vt:variant>
        <vt:lpwstr>https://cer.gov.au/markets/reports-and-data/safeguard-data/2024-25-baselines-and-emissions-data</vt:lpwstr>
      </vt:variant>
      <vt:variant>
        <vt:lpwstr>baselines-and-emissions-table</vt:lpwstr>
      </vt:variant>
      <vt:variant>
        <vt:i4>7077937</vt:i4>
      </vt:variant>
      <vt:variant>
        <vt:i4>123</vt:i4>
      </vt:variant>
      <vt:variant>
        <vt:i4>0</vt:i4>
      </vt:variant>
      <vt:variant>
        <vt:i4>5</vt:i4>
      </vt:variant>
      <vt:variant>
        <vt:lpwstr>https://cer.gov.au/about-us/our-compliance-approach/compliance-and-enforcement-priorities/compliance-and-enforcement-priorities-2025-26</vt:lpwstr>
      </vt:variant>
      <vt:variant>
        <vt:lpwstr/>
      </vt:variant>
      <vt:variant>
        <vt:i4>2621482</vt:i4>
      </vt:variant>
      <vt:variant>
        <vt:i4>120</vt:i4>
      </vt:variant>
      <vt:variant>
        <vt:i4>0</vt:i4>
      </vt:variant>
      <vt:variant>
        <vt:i4>5</vt:i4>
      </vt:variant>
      <vt:variant>
        <vt:lpwstr>https://cer.gov.au/node/5109/latest</vt:lpwstr>
      </vt:variant>
      <vt:variant>
        <vt:lpwstr/>
      </vt:variant>
      <vt:variant>
        <vt:i4>5898298</vt:i4>
      </vt:variant>
      <vt:variant>
        <vt:i4>117</vt:i4>
      </vt:variant>
      <vt:variant>
        <vt:i4>0</vt:i4>
      </vt:variant>
      <vt:variant>
        <vt:i4>5</vt:i4>
      </vt:variant>
      <vt:variant>
        <vt:lpwstr>https://www.dcceew.gov.au/climate-change/emissions-reporting/national-greenhouse-energy-reporting-scheme/safeguard-mechanism/overview</vt:lpwstr>
      </vt:variant>
      <vt:variant>
        <vt:lpwstr>_202627-review-of-the-safeguard-mechanism</vt:lpwstr>
      </vt:variant>
      <vt:variant>
        <vt:i4>7077937</vt:i4>
      </vt:variant>
      <vt:variant>
        <vt:i4>114</vt:i4>
      </vt:variant>
      <vt:variant>
        <vt:i4>0</vt:i4>
      </vt:variant>
      <vt:variant>
        <vt:i4>5</vt:i4>
      </vt:variant>
      <vt:variant>
        <vt:lpwstr>https://cer.gov.au/about-us/our-compliance-approach/compliance-and-enforcement-priorities/compliance-and-enforcement-priorities-2025-26</vt:lpwstr>
      </vt:variant>
      <vt:variant>
        <vt:lpwstr/>
      </vt:variant>
      <vt:variant>
        <vt:i4>7077937</vt:i4>
      </vt:variant>
      <vt:variant>
        <vt:i4>111</vt:i4>
      </vt:variant>
      <vt:variant>
        <vt:i4>0</vt:i4>
      </vt:variant>
      <vt:variant>
        <vt:i4>5</vt:i4>
      </vt:variant>
      <vt:variant>
        <vt:lpwstr>https://cer.gov.au/about-us/our-compliance-approach/compliance-and-enforcement-priorities/compliance-and-enforcement-priorities-2025-26</vt:lpwstr>
      </vt:variant>
      <vt:variant>
        <vt:lpwstr/>
      </vt:variant>
      <vt:variant>
        <vt:i4>6094876</vt:i4>
      </vt:variant>
      <vt:variant>
        <vt:i4>108</vt:i4>
      </vt:variant>
      <vt:variant>
        <vt:i4>0</vt:i4>
      </vt:variant>
      <vt:variant>
        <vt:i4>5</vt:i4>
      </vt:variant>
      <vt:variant>
        <vt:lpwstr>https://cer.gov.au/schemes/safeguard-mechanism/managing-excess-emissions</vt:lpwstr>
      </vt:variant>
      <vt:variant>
        <vt:lpwstr/>
      </vt:variant>
      <vt:variant>
        <vt:i4>7340072</vt:i4>
      </vt:variant>
      <vt:variant>
        <vt:i4>105</vt:i4>
      </vt:variant>
      <vt:variant>
        <vt:i4>0</vt:i4>
      </vt:variant>
      <vt:variant>
        <vt:i4>5</vt:i4>
      </vt:variant>
      <vt:variant>
        <vt:lpwstr>https://cer.gov.au/markets/reports-and-data/safeguard-data/</vt:lpwstr>
      </vt:variant>
      <vt:variant>
        <vt:lpwstr/>
      </vt:variant>
      <vt:variant>
        <vt:i4>1835058</vt:i4>
      </vt:variant>
      <vt:variant>
        <vt:i4>98</vt:i4>
      </vt:variant>
      <vt:variant>
        <vt:i4>0</vt:i4>
      </vt:variant>
      <vt:variant>
        <vt:i4>5</vt:i4>
      </vt:variant>
      <vt:variant>
        <vt:lpwstr/>
      </vt:variant>
      <vt:variant>
        <vt:lpwstr>_Toc226974142</vt:lpwstr>
      </vt:variant>
      <vt:variant>
        <vt:i4>1835058</vt:i4>
      </vt:variant>
      <vt:variant>
        <vt:i4>92</vt:i4>
      </vt:variant>
      <vt:variant>
        <vt:i4>0</vt:i4>
      </vt:variant>
      <vt:variant>
        <vt:i4>5</vt:i4>
      </vt:variant>
      <vt:variant>
        <vt:lpwstr/>
      </vt:variant>
      <vt:variant>
        <vt:lpwstr>_Toc226974141</vt:lpwstr>
      </vt:variant>
      <vt:variant>
        <vt:i4>1835058</vt:i4>
      </vt:variant>
      <vt:variant>
        <vt:i4>86</vt:i4>
      </vt:variant>
      <vt:variant>
        <vt:i4>0</vt:i4>
      </vt:variant>
      <vt:variant>
        <vt:i4>5</vt:i4>
      </vt:variant>
      <vt:variant>
        <vt:lpwstr/>
      </vt:variant>
      <vt:variant>
        <vt:lpwstr>_Toc226974140</vt:lpwstr>
      </vt:variant>
      <vt:variant>
        <vt:i4>1769522</vt:i4>
      </vt:variant>
      <vt:variant>
        <vt:i4>80</vt:i4>
      </vt:variant>
      <vt:variant>
        <vt:i4>0</vt:i4>
      </vt:variant>
      <vt:variant>
        <vt:i4>5</vt:i4>
      </vt:variant>
      <vt:variant>
        <vt:lpwstr/>
      </vt:variant>
      <vt:variant>
        <vt:lpwstr>_Toc226974139</vt:lpwstr>
      </vt:variant>
      <vt:variant>
        <vt:i4>1769522</vt:i4>
      </vt:variant>
      <vt:variant>
        <vt:i4>74</vt:i4>
      </vt:variant>
      <vt:variant>
        <vt:i4>0</vt:i4>
      </vt:variant>
      <vt:variant>
        <vt:i4>5</vt:i4>
      </vt:variant>
      <vt:variant>
        <vt:lpwstr/>
      </vt:variant>
      <vt:variant>
        <vt:lpwstr>_Toc226974138</vt:lpwstr>
      </vt:variant>
      <vt:variant>
        <vt:i4>1769522</vt:i4>
      </vt:variant>
      <vt:variant>
        <vt:i4>68</vt:i4>
      </vt:variant>
      <vt:variant>
        <vt:i4>0</vt:i4>
      </vt:variant>
      <vt:variant>
        <vt:i4>5</vt:i4>
      </vt:variant>
      <vt:variant>
        <vt:lpwstr/>
      </vt:variant>
      <vt:variant>
        <vt:lpwstr>_Toc226974137</vt:lpwstr>
      </vt:variant>
      <vt:variant>
        <vt:i4>1769522</vt:i4>
      </vt:variant>
      <vt:variant>
        <vt:i4>62</vt:i4>
      </vt:variant>
      <vt:variant>
        <vt:i4>0</vt:i4>
      </vt:variant>
      <vt:variant>
        <vt:i4>5</vt:i4>
      </vt:variant>
      <vt:variant>
        <vt:lpwstr/>
      </vt:variant>
      <vt:variant>
        <vt:lpwstr>_Toc226974136</vt:lpwstr>
      </vt:variant>
      <vt:variant>
        <vt:i4>1769522</vt:i4>
      </vt:variant>
      <vt:variant>
        <vt:i4>56</vt:i4>
      </vt:variant>
      <vt:variant>
        <vt:i4>0</vt:i4>
      </vt:variant>
      <vt:variant>
        <vt:i4>5</vt:i4>
      </vt:variant>
      <vt:variant>
        <vt:lpwstr/>
      </vt:variant>
      <vt:variant>
        <vt:lpwstr>_Toc226974135</vt:lpwstr>
      </vt:variant>
      <vt:variant>
        <vt:i4>1769522</vt:i4>
      </vt:variant>
      <vt:variant>
        <vt:i4>50</vt:i4>
      </vt:variant>
      <vt:variant>
        <vt:i4>0</vt:i4>
      </vt:variant>
      <vt:variant>
        <vt:i4>5</vt:i4>
      </vt:variant>
      <vt:variant>
        <vt:lpwstr/>
      </vt:variant>
      <vt:variant>
        <vt:lpwstr>_Toc226974134</vt:lpwstr>
      </vt:variant>
      <vt:variant>
        <vt:i4>1769522</vt:i4>
      </vt:variant>
      <vt:variant>
        <vt:i4>44</vt:i4>
      </vt:variant>
      <vt:variant>
        <vt:i4>0</vt:i4>
      </vt:variant>
      <vt:variant>
        <vt:i4>5</vt:i4>
      </vt:variant>
      <vt:variant>
        <vt:lpwstr/>
      </vt:variant>
      <vt:variant>
        <vt:lpwstr>_Toc226974133</vt:lpwstr>
      </vt:variant>
      <vt:variant>
        <vt:i4>1769522</vt:i4>
      </vt:variant>
      <vt:variant>
        <vt:i4>38</vt:i4>
      </vt:variant>
      <vt:variant>
        <vt:i4>0</vt:i4>
      </vt:variant>
      <vt:variant>
        <vt:i4>5</vt:i4>
      </vt:variant>
      <vt:variant>
        <vt:lpwstr/>
      </vt:variant>
      <vt:variant>
        <vt:lpwstr>_Toc226974132</vt:lpwstr>
      </vt:variant>
      <vt:variant>
        <vt:i4>1769522</vt:i4>
      </vt:variant>
      <vt:variant>
        <vt:i4>32</vt:i4>
      </vt:variant>
      <vt:variant>
        <vt:i4>0</vt:i4>
      </vt:variant>
      <vt:variant>
        <vt:i4>5</vt:i4>
      </vt:variant>
      <vt:variant>
        <vt:lpwstr/>
      </vt:variant>
      <vt:variant>
        <vt:lpwstr>_Toc226974131</vt:lpwstr>
      </vt:variant>
      <vt:variant>
        <vt:i4>1769522</vt:i4>
      </vt:variant>
      <vt:variant>
        <vt:i4>26</vt:i4>
      </vt:variant>
      <vt:variant>
        <vt:i4>0</vt:i4>
      </vt:variant>
      <vt:variant>
        <vt:i4>5</vt:i4>
      </vt:variant>
      <vt:variant>
        <vt:lpwstr/>
      </vt:variant>
      <vt:variant>
        <vt:lpwstr>_Toc226974130</vt:lpwstr>
      </vt:variant>
      <vt:variant>
        <vt:i4>1703986</vt:i4>
      </vt:variant>
      <vt:variant>
        <vt:i4>20</vt:i4>
      </vt:variant>
      <vt:variant>
        <vt:i4>0</vt:i4>
      </vt:variant>
      <vt:variant>
        <vt:i4>5</vt:i4>
      </vt:variant>
      <vt:variant>
        <vt:lpwstr/>
      </vt:variant>
      <vt:variant>
        <vt:lpwstr>_Toc226974129</vt:lpwstr>
      </vt:variant>
      <vt:variant>
        <vt:i4>1703986</vt:i4>
      </vt:variant>
      <vt:variant>
        <vt:i4>14</vt:i4>
      </vt:variant>
      <vt:variant>
        <vt:i4>0</vt:i4>
      </vt:variant>
      <vt:variant>
        <vt:i4>5</vt:i4>
      </vt:variant>
      <vt:variant>
        <vt:lpwstr/>
      </vt:variant>
      <vt:variant>
        <vt:lpwstr>_Toc226974128</vt:lpwstr>
      </vt:variant>
      <vt:variant>
        <vt:i4>1703986</vt:i4>
      </vt:variant>
      <vt:variant>
        <vt:i4>8</vt:i4>
      </vt:variant>
      <vt:variant>
        <vt:i4>0</vt:i4>
      </vt:variant>
      <vt:variant>
        <vt:i4>5</vt:i4>
      </vt:variant>
      <vt:variant>
        <vt:lpwstr/>
      </vt:variant>
      <vt:variant>
        <vt:lpwstr>_Toc226974127</vt:lpwstr>
      </vt:variant>
      <vt:variant>
        <vt:i4>1703986</vt:i4>
      </vt:variant>
      <vt:variant>
        <vt:i4>2</vt:i4>
      </vt:variant>
      <vt:variant>
        <vt:i4>0</vt:i4>
      </vt:variant>
      <vt:variant>
        <vt:i4>5</vt:i4>
      </vt:variant>
      <vt:variant>
        <vt:lpwstr/>
      </vt:variant>
      <vt:variant>
        <vt:lpwstr>_Toc226974126</vt:lpwstr>
      </vt:variant>
      <vt:variant>
        <vt:i4>7077937</vt:i4>
      </vt:variant>
      <vt:variant>
        <vt:i4>0</vt:i4>
      </vt:variant>
      <vt:variant>
        <vt:i4>0</vt:i4>
      </vt:variant>
      <vt:variant>
        <vt:i4>5</vt:i4>
      </vt:variant>
      <vt:variant>
        <vt:lpwstr>https://cer.gov.au/schemes/safeguard-mechanism/safeguard-baselines</vt:lpwstr>
      </vt:variant>
      <vt:variant>
        <vt:lpwstr>standard-baseline</vt:lpwstr>
      </vt:variant>
      <vt:variant>
        <vt:i4>1310783</vt:i4>
      </vt:variant>
      <vt:variant>
        <vt:i4>6</vt:i4>
      </vt:variant>
      <vt:variant>
        <vt:i4>0</vt:i4>
      </vt:variant>
      <vt:variant>
        <vt:i4>5</vt:i4>
      </vt:variant>
      <vt:variant>
        <vt:lpwstr>mailto:Dora.Gillett@cer.gov.au</vt:lpwstr>
      </vt:variant>
      <vt:variant>
        <vt:lpwstr/>
      </vt:variant>
      <vt:variant>
        <vt:i4>1310783</vt:i4>
      </vt:variant>
      <vt:variant>
        <vt:i4>3</vt:i4>
      </vt:variant>
      <vt:variant>
        <vt:i4>0</vt:i4>
      </vt:variant>
      <vt:variant>
        <vt:i4>5</vt:i4>
      </vt:variant>
      <vt:variant>
        <vt:lpwstr>mailto:Dora.Gillett@cer.gov.au</vt:lpwstr>
      </vt:variant>
      <vt:variant>
        <vt:lpwstr/>
      </vt:variant>
      <vt:variant>
        <vt:i4>1310783</vt:i4>
      </vt:variant>
      <vt:variant>
        <vt:i4>0</vt:i4>
      </vt:variant>
      <vt:variant>
        <vt:i4>0</vt:i4>
      </vt:variant>
      <vt:variant>
        <vt:i4>5</vt:i4>
      </vt:variant>
      <vt:variant>
        <vt:lpwstr>mailto:Dora.Gillett@cer.gov.au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Safeguard Mechanism data insights</dc:title>
  <dc:subject/>
  <dc:creator/>
  <cp:keywords/>
  <cp:lastModifiedBy/>
  <cp:revision>1</cp:revision>
  <dcterms:created xsi:type="dcterms:W3CDTF">2026-04-14T00:14:00Z</dcterms:created>
  <dcterms:modified xsi:type="dcterms:W3CDTF">2026-04-15T02:05:00Z</dcterms:modified>
</cp:coreProperties>
</file>